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60" w:lineRule="exact"/>
        <w:ind w:left="-19" w:leftChars="-97" w:hanging="291" w:hangingChars="97"/>
        <w:rPr>
          <w:rFonts w:hint="default" w:ascii="方正黑体简体" w:hAnsi="方正黑体简体" w:eastAsia="方正黑体简体" w:cs="方正黑体简体"/>
          <w:color w:val="000000"/>
          <w:sz w:val="30"/>
          <w:szCs w:val="30"/>
          <w:lang w:eastAsia="zh-CN"/>
        </w:rPr>
      </w:pPr>
      <w:r>
        <w:rPr>
          <w:rFonts w:hint="default" w:ascii="方正黑体简体" w:hAnsi="方正黑体简体" w:eastAsia="方正黑体简体" w:cs="方正黑体简体"/>
          <w:color w:val="000000"/>
          <w:sz w:val="30"/>
          <w:szCs w:val="30"/>
          <w:lang w:eastAsia="zh-CN"/>
        </w:rPr>
        <w:t>附件1</w:t>
      </w:r>
    </w:p>
    <w:p>
      <w:pPr>
        <w:keepNext w:val="0"/>
        <w:keepLines w:val="0"/>
        <w:pageBreakBefore w:val="0"/>
        <w:widowControl w:val="0"/>
        <w:kinsoku/>
        <w:wordWrap/>
        <w:overflowPunct/>
        <w:topLinePunct w:val="0"/>
        <w:autoSpaceDE/>
        <w:autoSpaceDN w:val="0"/>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方正小标宋_GBK" w:hAnsi="方正小标宋_GBK" w:eastAsia="方正小标宋_GBK" w:cs="方正小标宋_GBK"/>
          <w:b w:val="0"/>
          <w:i w:val="0"/>
          <w:snapToGrid/>
          <w:color w:val="000000"/>
          <w:w w:val="100"/>
          <w:sz w:val="32"/>
          <w:szCs w:val="32"/>
          <w:lang w:eastAsia="zh-CN"/>
        </w:rPr>
      </w:pPr>
      <w:bookmarkStart w:id="0" w:name="_GoBack"/>
      <w:r>
        <w:rPr>
          <w:rFonts w:hint="eastAsia" w:ascii="方正小标宋简体" w:hAnsi="方正小标宋简体" w:eastAsia="方正小标宋简体" w:cs="方正小标宋简体"/>
          <w:b w:val="0"/>
          <w:i w:val="0"/>
          <w:snapToGrid/>
          <w:color w:val="000000"/>
          <w:w w:val="100"/>
          <w:sz w:val="32"/>
          <w:szCs w:val="32"/>
          <w:lang w:eastAsia="zh-CN"/>
        </w:rPr>
        <w:t>渝北区201</w:t>
      </w:r>
      <w:r>
        <w:rPr>
          <w:rFonts w:hint="eastAsia" w:ascii="方正小标宋简体" w:hAnsi="方正小标宋简体" w:eastAsia="方正小标宋简体" w:cs="方正小标宋简体"/>
          <w:b w:val="0"/>
          <w:i w:val="0"/>
          <w:snapToGrid/>
          <w:color w:val="000000"/>
          <w:w w:val="100"/>
          <w:sz w:val="32"/>
          <w:szCs w:val="32"/>
          <w:lang w:val="en-US" w:eastAsia="zh-CN"/>
        </w:rPr>
        <w:t>8</w:t>
      </w:r>
      <w:r>
        <w:rPr>
          <w:rFonts w:hint="eastAsia" w:ascii="方正小标宋简体" w:hAnsi="方正小标宋简体" w:eastAsia="方正小标宋简体" w:cs="方正小标宋简体"/>
          <w:b w:val="0"/>
          <w:i w:val="0"/>
          <w:snapToGrid/>
          <w:color w:val="000000"/>
          <w:w w:val="100"/>
          <w:sz w:val="32"/>
          <w:szCs w:val="32"/>
          <w:lang w:eastAsia="zh-CN"/>
        </w:rPr>
        <w:t>年</w:t>
      </w:r>
      <w:r>
        <w:rPr>
          <w:rFonts w:hint="eastAsia" w:ascii="方正小标宋简体" w:hAnsi="方正小标宋简体" w:eastAsia="方正小标宋简体" w:cs="方正小标宋简体"/>
          <w:b w:val="0"/>
          <w:i w:val="0"/>
          <w:snapToGrid/>
          <w:color w:val="000000"/>
          <w:w w:val="100"/>
          <w:sz w:val="32"/>
          <w:szCs w:val="32"/>
          <w:lang w:val="en-US" w:eastAsia="zh-CN"/>
        </w:rPr>
        <w:t>一季度</w:t>
      </w:r>
      <w:r>
        <w:rPr>
          <w:rFonts w:hint="eastAsia" w:ascii="方正小标宋简体" w:hAnsi="方正小标宋简体" w:eastAsia="方正小标宋简体" w:cs="方正小标宋简体"/>
          <w:b w:val="0"/>
          <w:i w:val="0"/>
          <w:snapToGrid/>
          <w:color w:val="000000"/>
          <w:w w:val="100"/>
          <w:sz w:val="32"/>
          <w:szCs w:val="32"/>
          <w:lang w:eastAsia="zh-CN"/>
        </w:rPr>
        <w:t>考核招聘卫生计生事业单位高层次和急需紧缺专业技术人才岗位一览表</w:t>
      </w:r>
    </w:p>
    <w:bookmarkEnd w:id="0"/>
    <w:tbl>
      <w:tblPr>
        <w:tblStyle w:val="5"/>
        <w:tblW w:w="13741" w:type="dxa"/>
        <w:jc w:val="center"/>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515"/>
        <w:gridCol w:w="1288"/>
        <w:gridCol w:w="999"/>
        <w:gridCol w:w="886"/>
        <w:gridCol w:w="499"/>
        <w:gridCol w:w="2105"/>
        <w:gridCol w:w="1415"/>
        <w:gridCol w:w="571"/>
        <w:gridCol w:w="907"/>
        <w:gridCol w:w="1244"/>
        <w:gridCol w:w="2"/>
        <w:gridCol w:w="876"/>
        <w:gridCol w:w="878"/>
        <w:gridCol w:w="2"/>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52"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序号</w:t>
            </w:r>
          </w:p>
        </w:tc>
        <w:tc>
          <w:tcPr>
            <w:tcW w:w="1515"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主管部门</w:t>
            </w:r>
          </w:p>
        </w:tc>
        <w:tc>
          <w:tcPr>
            <w:tcW w:w="1288"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招聘单位</w:t>
            </w:r>
          </w:p>
        </w:tc>
        <w:tc>
          <w:tcPr>
            <w:tcW w:w="999"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岗位名称</w:t>
            </w:r>
          </w:p>
        </w:tc>
        <w:tc>
          <w:tcPr>
            <w:tcW w:w="886"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岗位类别及等级</w:t>
            </w:r>
          </w:p>
        </w:tc>
        <w:tc>
          <w:tcPr>
            <w:tcW w:w="499" w:type="dxa"/>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招聘名额</w:t>
            </w:r>
          </w:p>
        </w:tc>
        <w:tc>
          <w:tcPr>
            <w:tcW w:w="6244" w:type="dxa"/>
            <w:gridSpan w:val="6"/>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招聘条件</w:t>
            </w:r>
          </w:p>
        </w:tc>
        <w:tc>
          <w:tcPr>
            <w:tcW w:w="1758" w:type="dxa"/>
            <w:gridSpan w:val="4"/>
            <w:tcBorders>
              <w:bottom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 w:type="dxa"/>
          <w:trHeight w:val="289" w:hRule="atLeast"/>
          <w:jc w:val="center"/>
        </w:trPr>
        <w:tc>
          <w:tcPr>
            <w:tcW w:w="552"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1515"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1288"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999"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886"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499" w:type="dxa"/>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学历（学位）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专业</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性别</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年龄</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其他条件</w:t>
            </w:r>
          </w:p>
        </w:tc>
        <w:tc>
          <w:tcPr>
            <w:tcW w:w="878" w:type="dxa"/>
            <w:gridSpan w:val="2"/>
            <w:tcBorders>
              <w:top w:val="nil"/>
              <w:right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c>
          <w:tcPr>
            <w:tcW w:w="878" w:type="dxa"/>
            <w:tcBorders>
              <w:top w:val="nil"/>
              <w:left w:val="nil"/>
            </w:tcBorders>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1</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医务科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全日制普通高校本科以上学历及相应学位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临床医学、</w:t>
            </w: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中医学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restart"/>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both"/>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考生不得以全科医生（基层）高级职称报考。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2</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眼科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w:t>
            </w:r>
            <w:r>
              <w:rPr>
                <w:rFonts w:hint="eastAsia" w:ascii="方正仿宋_GBK" w:hAnsi="方正仿宋_GBK" w:eastAsia="方正仿宋_GBK" w:cs="方正仿宋_GBK"/>
                <w:b w:val="0"/>
                <w:i w:val="0"/>
                <w:snapToGrid/>
                <w:color w:val="000000"/>
                <w:sz w:val="21"/>
                <w:szCs w:val="21"/>
                <w:highlight w:val="none"/>
                <w:lang w:val="en-US" w:eastAsia="zh-CN"/>
              </w:rPr>
              <w:t>4</w:t>
            </w:r>
            <w:r>
              <w:rPr>
                <w:rFonts w:hint="eastAsia" w:ascii="方正仿宋_GBK" w:hAnsi="方正仿宋_GBK" w:eastAsia="方正仿宋_GBK" w:cs="方正仿宋_GBK"/>
                <w:b w:val="0"/>
                <w:i w:val="0"/>
                <w:snapToGrid/>
                <w:color w:val="000000"/>
                <w:sz w:val="21"/>
                <w:szCs w:val="21"/>
                <w:highlight w:val="none"/>
                <w:lang w:eastAsia="zh-CN"/>
              </w:rPr>
              <w:t>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全日制普通高校本科以上学历及相应学位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临床医学</w:t>
            </w: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（眼科）</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具有正高级职称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3</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妇产科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全日制普通高校本科以上学历及相应学位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临床医学、</w:t>
            </w:r>
          </w:p>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妇产科学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女</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4</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麻醉科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全日制普通高校本科以上学历及相应学位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麻醉学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男</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5</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儿科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全日制普通高校本科以上学历及相应学位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儿科学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eastAsia="zh-CN"/>
              </w:rPr>
              <w:t>6</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心血管内科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全日制普通高校研究生学历</w:t>
            </w:r>
            <w:r>
              <w:rPr>
                <w:rFonts w:hint="eastAsia" w:ascii="方正仿宋_GBK" w:hAnsi="方正仿宋_GBK" w:eastAsia="方正仿宋_GBK" w:cs="方正仿宋_GBK"/>
                <w:b w:val="0"/>
                <w:i w:val="0"/>
                <w:snapToGrid/>
                <w:color w:val="000000"/>
                <w:sz w:val="21"/>
                <w:szCs w:val="21"/>
                <w:highlight w:val="none"/>
                <w:lang w:val="en-US" w:eastAsia="zh-CN"/>
              </w:rPr>
              <w:t>及相应</w:t>
            </w:r>
            <w:r>
              <w:rPr>
                <w:rFonts w:hint="eastAsia" w:ascii="方正仿宋_GBK" w:hAnsi="方正仿宋_GBK" w:eastAsia="方正仿宋_GBK" w:cs="方正仿宋_GBK"/>
                <w:b w:val="0"/>
                <w:i w:val="0"/>
                <w:snapToGrid/>
                <w:color w:val="000000"/>
                <w:sz w:val="21"/>
                <w:szCs w:val="21"/>
                <w:highlight w:val="none"/>
                <w:lang w:eastAsia="zh-CN"/>
              </w:rPr>
              <w:t>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内科学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7</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病理科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全日制普通高校研究生学历及相应学位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val="en-US" w:eastAsia="zh-CN"/>
              </w:rPr>
              <w:t>组织胚胎学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8</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渝北区人民医院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重症医学科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全日制普通高校研究生学历及相应学位</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内科学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男</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9</w:t>
            </w:r>
          </w:p>
        </w:tc>
        <w:tc>
          <w:tcPr>
            <w:tcW w:w="15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渝北区中医院</w:t>
            </w:r>
          </w:p>
        </w:tc>
        <w:tc>
          <w:tcPr>
            <w:tcW w:w="9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中医内科</w:t>
            </w:r>
          </w:p>
        </w:tc>
        <w:tc>
          <w:tcPr>
            <w:tcW w:w="886"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专技7级以上</w:t>
            </w:r>
          </w:p>
        </w:tc>
        <w:tc>
          <w:tcPr>
            <w:tcW w:w="499"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1</w:t>
            </w:r>
          </w:p>
        </w:tc>
        <w:tc>
          <w:tcPr>
            <w:tcW w:w="210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全日制普通高校本科及以上学历</w:t>
            </w:r>
          </w:p>
        </w:tc>
        <w:tc>
          <w:tcPr>
            <w:tcW w:w="1415"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highlight w:val="none"/>
                <w:lang w:eastAsia="zh-CN"/>
              </w:rPr>
              <w:t>中医学</w:t>
            </w:r>
          </w:p>
        </w:tc>
        <w:tc>
          <w:tcPr>
            <w:tcW w:w="571"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shd w:val="clear" w:color="auto" w:fill="auto"/>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r>
              <w:rPr>
                <w:rFonts w:hint="eastAsia" w:ascii="方正仿宋_GBK" w:hAnsi="方正仿宋_GBK" w:eastAsia="方正仿宋_GBK" w:cs="方正仿宋_GBK"/>
                <w:b w:val="0"/>
                <w:i w:val="0"/>
                <w:snapToGrid/>
                <w:color w:val="000000"/>
                <w:sz w:val="21"/>
                <w:szCs w:val="21"/>
                <w:lang w:val="en-US" w:eastAsia="zh-CN"/>
              </w:rPr>
              <w:t>10</w:t>
            </w:r>
          </w:p>
        </w:tc>
        <w:tc>
          <w:tcPr>
            <w:tcW w:w="1515" w:type="dxa"/>
            <w:shd w:val="clear" w:color="auto" w:fill="auto"/>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渝北区中医院</w:t>
            </w:r>
          </w:p>
        </w:tc>
        <w:tc>
          <w:tcPr>
            <w:tcW w:w="999"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神经外科</w:t>
            </w:r>
          </w:p>
        </w:tc>
        <w:tc>
          <w:tcPr>
            <w:tcW w:w="886" w:type="dxa"/>
            <w:shd w:val="solid" w:color="FFFFFF"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专技7级以上</w:t>
            </w:r>
          </w:p>
        </w:tc>
        <w:tc>
          <w:tcPr>
            <w:tcW w:w="499"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1</w:t>
            </w:r>
          </w:p>
        </w:tc>
        <w:tc>
          <w:tcPr>
            <w:tcW w:w="210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全日制普通高校本科及以上学历</w:t>
            </w:r>
          </w:p>
        </w:tc>
        <w:tc>
          <w:tcPr>
            <w:tcW w:w="141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临床医学、外科学</w:t>
            </w:r>
          </w:p>
        </w:tc>
        <w:tc>
          <w:tcPr>
            <w:tcW w:w="571" w:type="dxa"/>
            <w:shd w:val="solid" w:color="FFFFFF"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shd w:val="clear" w:color="auto" w:fill="auto"/>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11</w:t>
            </w:r>
          </w:p>
        </w:tc>
        <w:tc>
          <w:tcPr>
            <w:tcW w:w="1515" w:type="dxa"/>
            <w:shd w:val="clear" w:color="auto" w:fill="auto"/>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w w:val="90"/>
                <w:sz w:val="21"/>
                <w:szCs w:val="21"/>
                <w:lang w:eastAsia="zh-CN"/>
              </w:rPr>
              <w:t>渝北区</w:t>
            </w:r>
            <w:r>
              <w:rPr>
                <w:rFonts w:hint="eastAsia" w:ascii="方正仿宋_GBK" w:hAnsi="方正仿宋_GBK" w:eastAsia="方正仿宋_GBK" w:cs="方正仿宋_GBK"/>
                <w:b w:val="0"/>
                <w:i w:val="0"/>
                <w:snapToGrid/>
                <w:color w:val="000000"/>
                <w:w w:val="90"/>
                <w:sz w:val="21"/>
                <w:szCs w:val="21"/>
                <w:lang w:val="en-US" w:eastAsia="zh-CN"/>
              </w:rPr>
              <w:t>妇幼保健院</w:t>
            </w:r>
          </w:p>
        </w:tc>
        <w:tc>
          <w:tcPr>
            <w:tcW w:w="999"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lang w:val="en-US" w:eastAsia="zh-CN"/>
              </w:rPr>
              <w:t>儿科</w:t>
            </w:r>
          </w:p>
        </w:tc>
        <w:tc>
          <w:tcPr>
            <w:tcW w:w="886" w:type="dxa"/>
            <w:shd w:val="solid" w:color="FFFFFF"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专技7级以上</w:t>
            </w:r>
          </w:p>
        </w:tc>
        <w:tc>
          <w:tcPr>
            <w:tcW w:w="499"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1</w:t>
            </w:r>
          </w:p>
        </w:tc>
        <w:tc>
          <w:tcPr>
            <w:tcW w:w="210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全日制普通高校</w:t>
            </w:r>
            <w:r>
              <w:rPr>
                <w:rFonts w:hint="eastAsia" w:ascii="方正仿宋_GBK" w:hAnsi="方正仿宋_GBK" w:eastAsia="方正仿宋_GBK" w:cs="方正仿宋_GBK"/>
                <w:b w:val="0"/>
                <w:i w:val="0"/>
                <w:snapToGrid/>
                <w:color w:val="000000"/>
                <w:sz w:val="21"/>
                <w:szCs w:val="21"/>
                <w:lang w:val="en-US" w:eastAsia="zh-CN"/>
              </w:rPr>
              <w:t>研究生</w:t>
            </w:r>
            <w:r>
              <w:rPr>
                <w:rFonts w:hint="eastAsia" w:ascii="方正仿宋_GBK" w:hAnsi="方正仿宋_GBK" w:eastAsia="方正仿宋_GBK" w:cs="方正仿宋_GBK"/>
                <w:b w:val="0"/>
                <w:i w:val="0"/>
                <w:snapToGrid/>
                <w:color w:val="000000"/>
                <w:sz w:val="21"/>
                <w:szCs w:val="21"/>
                <w:lang w:eastAsia="zh-CN"/>
              </w:rPr>
              <w:t>学历并取得博士学位</w:t>
            </w:r>
          </w:p>
        </w:tc>
        <w:tc>
          <w:tcPr>
            <w:tcW w:w="141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儿科学</w:t>
            </w:r>
          </w:p>
        </w:tc>
        <w:tc>
          <w:tcPr>
            <w:tcW w:w="571" w:type="dxa"/>
            <w:shd w:val="solid" w:color="FFFFFF"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lang w:val="en-US"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12</w:t>
            </w:r>
          </w:p>
        </w:tc>
        <w:tc>
          <w:tcPr>
            <w:tcW w:w="1515" w:type="dxa"/>
            <w:shd w:val="clear" w:color="auto" w:fill="auto"/>
            <w:tcMar>
              <w:top w:w="0" w:type="dxa"/>
              <w:left w:w="0" w:type="dxa"/>
              <w:bottom w:w="0" w:type="dxa"/>
              <w:right w:w="0" w:type="dxa"/>
            </w:tcMar>
            <w:vAlign w:val="center"/>
          </w:tcPr>
          <w:p>
            <w:pPr>
              <w:kinsoku/>
              <w:autoSpaceDE/>
              <w:autoSpaceDN w:val="0"/>
              <w:jc w:val="left"/>
              <w:textAlignment w:val="center"/>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渝北区中医院</w:t>
            </w:r>
          </w:p>
        </w:tc>
        <w:tc>
          <w:tcPr>
            <w:tcW w:w="999"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u w:val="none"/>
                <w:lang w:eastAsia="zh-CN"/>
              </w:rPr>
              <w:t>超声科</w:t>
            </w:r>
          </w:p>
        </w:tc>
        <w:tc>
          <w:tcPr>
            <w:tcW w:w="886" w:type="dxa"/>
            <w:shd w:val="solid" w:color="FFFFFF" w:fill="auto"/>
            <w:tcMar>
              <w:top w:w="0" w:type="dxa"/>
              <w:left w:w="0" w:type="dxa"/>
              <w:bottom w:w="0" w:type="dxa"/>
              <w:right w:w="0" w:type="dxa"/>
            </w:tcMar>
            <w:vAlign w:val="center"/>
          </w:tcPr>
          <w:p>
            <w:pPr>
              <w:shd w:val="solid" w:color="FFFFFF" w:fill="auto"/>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u w:val="none"/>
                <w:shd w:val="clear" w:color="auto" w:fill="FFFFFF"/>
                <w:lang w:eastAsia="zh-CN"/>
              </w:rPr>
              <w:t>专技7级以上</w:t>
            </w:r>
          </w:p>
        </w:tc>
        <w:tc>
          <w:tcPr>
            <w:tcW w:w="499"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u w:val="none"/>
                <w:lang w:eastAsia="zh-CN"/>
              </w:rPr>
              <w:t>1</w:t>
            </w:r>
          </w:p>
        </w:tc>
        <w:tc>
          <w:tcPr>
            <w:tcW w:w="2105" w:type="dxa"/>
            <w:shd w:val="clear" w:color="auto" w:fill="auto"/>
            <w:tcMar>
              <w:top w:w="0" w:type="dxa"/>
              <w:left w:w="0" w:type="dxa"/>
              <w:bottom w:w="0" w:type="dxa"/>
              <w:right w:w="0" w:type="dxa"/>
            </w:tcMar>
            <w:vAlign w:val="center"/>
          </w:tcPr>
          <w:p>
            <w:pPr>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国民教育本科及以上学历</w:t>
            </w:r>
          </w:p>
        </w:tc>
        <w:tc>
          <w:tcPr>
            <w:tcW w:w="141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val="en-US" w:eastAsia="zh-CN"/>
              </w:rPr>
              <w:t>临床医学、影像医学与核医学</w:t>
            </w:r>
          </w:p>
        </w:tc>
        <w:tc>
          <w:tcPr>
            <w:tcW w:w="571" w:type="dxa"/>
            <w:shd w:val="solid" w:color="FFFFFF" w:fill="auto"/>
            <w:tcMar>
              <w:top w:w="0" w:type="dxa"/>
              <w:left w:w="0" w:type="dxa"/>
              <w:bottom w:w="0" w:type="dxa"/>
              <w:right w:w="0" w:type="dxa"/>
            </w:tcMar>
            <w:vAlign w:val="center"/>
          </w:tcPr>
          <w:p>
            <w:pPr>
              <w:shd w:val="solid" w:color="FFFFFF" w:fill="auto"/>
              <w:kinsoku/>
              <w:autoSpaceDE/>
              <w:autoSpaceDN w:val="0"/>
              <w:jc w:val="center"/>
              <w:textAlignment w:val="center"/>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lang w:val="en-US"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567" w:hRule="atLeast"/>
          <w:jc w:val="center"/>
        </w:trPr>
        <w:tc>
          <w:tcPr>
            <w:tcW w:w="552"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13</w:t>
            </w:r>
          </w:p>
        </w:tc>
        <w:tc>
          <w:tcPr>
            <w:tcW w:w="151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方正仿宋_GBK" w:hAnsi="方正仿宋_GBK" w:eastAsia="方正仿宋_GBK" w:cs="方正仿宋_GBK"/>
                <w:b w:val="0"/>
                <w:i w:val="0"/>
                <w:snapToGrid/>
                <w:color w:val="000000"/>
                <w:sz w:val="21"/>
                <w:szCs w:val="21"/>
                <w:lang w:val="en-US" w:eastAsia="zh-CN"/>
              </w:rPr>
            </w:pPr>
            <w:r>
              <w:rPr>
                <w:rFonts w:hint="eastAsia" w:ascii="方正仿宋_GBK" w:hAnsi="方正仿宋_GBK" w:eastAsia="方正仿宋_GBK" w:cs="方正仿宋_GBK"/>
                <w:b w:val="0"/>
                <w:i w:val="0"/>
                <w:snapToGrid/>
                <w:color w:val="000000"/>
                <w:sz w:val="21"/>
                <w:szCs w:val="21"/>
                <w:lang w:val="en-US" w:eastAsia="zh-CN"/>
              </w:rPr>
              <w:t>渝北区卫生和计划生育委员会</w:t>
            </w:r>
          </w:p>
        </w:tc>
        <w:tc>
          <w:tcPr>
            <w:tcW w:w="1288"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渝北区</w:t>
            </w:r>
            <w:r>
              <w:rPr>
                <w:rFonts w:hint="eastAsia" w:ascii="方正仿宋_GBK" w:hAnsi="方正仿宋_GBK" w:eastAsia="方正仿宋_GBK" w:cs="方正仿宋_GBK"/>
                <w:b w:val="0"/>
                <w:i w:val="0"/>
                <w:snapToGrid/>
                <w:color w:val="000000"/>
                <w:sz w:val="21"/>
                <w:szCs w:val="21"/>
                <w:lang w:val="en-US" w:eastAsia="zh-CN"/>
              </w:rPr>
              <w:t>龙溪社区卫生服务中心</w:t>
            </w:r>
          </w:p>
        </w:tc>
        <w:tc>
          <w:tcPr>
            <w:tcW w:w="999"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lang w:val="en-US" w:eastAsia="zh-CN"/>
              </w:rPr>
              <w:t>外科</w:t>
            </w:r>
          </w:p>
        </w:tc>
        <w:tc>
          <w:tcPr>
            <w:tcW w:w="886" w:type="dxa"/>
            <w:shd w:val="solid" w:color="FFFFFF"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eastAsia="zh-CN"/>
              </w:rPr>
              <w:t>专技7级以上</w:t>
            </w:r>
          </w:p>
        </w:tc>
        <w:tc>
          <w:tcPr>
            <w:tcW w:w="499"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1</w:t>
            </w:r>
          </w:p>
        </w:tc>
        <w:tc>
          <w:tcPr>
            <w:tcW w:w="210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国民教育本科及以上学历</w:t>
            </w:r>
          </w:p>
        </w:tc>
        <w:tc>
          <w:tcPr>
            <w:tcW w:w="1415" w:type="dxa"/>
            <w:shd w:val="clear" w:color="auto"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lang w:val="en-US" w:eastAsia="zh-CN"/>
              </w:rPr>
              <w:t>临床医学、外科学</w:t>
            </w:r>
          </w:p>
        </w:tc>
        <w:tc>
          <w:tcPr>
            <w:tcW w:w="571" w:type="dxa"/>
            <w:shd w:val="solid" w:color="FFFFFF" w:fill="auto"/>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val="en-US" w:eastAsia="zh-CN"/>
              </w:rPr>
            </w:pPr>
            <w:r>
              <w:rPr>
                <w:rFonts w:hint="eastAsia" w:ascii="方正仿宋_GBK" w:hAnsi="方正仿宋_GBK" w:eastAsia="方正仿宋_GBK" w:cs="方正仿宋_GBK"/>
                <w:b w:val="0"/>
                <w:i w:val="0"/>
                <w:snapToGrid/>
                <w:color w:val="000000"/>
                <w:sz w:val="21"/>
                <w:szCs w:val="21"/>
                <w:lang w:val="en-US" w:eastAsia="zh-CN"/>
              </w:rPr>
              <w:t>不限</w:t>
            </w:r>
          </w:p>
        </w:tc>
        <w:tc>
          <w:tcPr>
            <w:tcW w:w="907"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lang w:val="en-US" w:eastAsia="zh-CN"/>
              </w:rPr>
              <w:t>45周岁及以下</w:t>
            </w:r>
          </w:p>
        </w:tc>
        <w:tc>
          <w:tcPr>
            <w:tcW w:w="1244"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highlight w:val="none"/>
                <w:lang w:eastAsia="zh-CN"/>
              </w:rPr>
            </w:pPr>
            <w:r>
              <w:rPr>
                <w:rFonts w:hint="eastAsia" w:ascii="方正仿宋_GBK" w:hAnsi="方正仿宋_GBK" w:eastAsia="方正仿宋_GBK" w:cs="方正仿宋_GBK"/>
                <w:b w:val="0"/>
                <w:i w:val="0"/>
                <w:snapToGrid/>
                <w:color w:val="000000"/>
                <w:sz w:val="21"/>
                <w:szCs w:val="21"/>
                <w:highlight w:val="none"/>
                <w:lang w:eastAsia="zh-CN"/>
              </w:rPr>
              <w:t>具有副高级以上职称</w:t>
            </w:r>
          </w:p>
        </w:tc>
        <w:tc>
          <w:tcPr>
            <w:tcW w:w="1758" w:type="dxa"/>
            <w:gridSpan w:val="4"/>
            <w:vMerge w:val="continue"/>
            <w:tcMar>
              <w:top w:w="0" w:type="dxa"/>
              <w:left w:w="0" w:type="dxa"/>
              <w:bottom w:w="0" w:type="dxa"/>
              <w:right w:w="0" w:type="dxa"/>
            </w:tcMar>
            <w:vAlign w:val="center"/>
          </w:tcPr>
          <w:p>
            <w:pPr>
              <w:keepNext w:val="0"/>
              <w:keepLines w:val="0"/>
              <w:pageBreakBefore w:val="0"/>
              <w:widowControl w:val="0"/>
              <w:tabs>
                <w:tab w:val="left" w:pos="445"/>
              </w:tabs>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方正仿宋_GBK" w:hAnsi="方正仿宋_GBK" w:eastAsia="方正仿宋_GBK" w:cs="方正仿宋_GBK"/>
                <w:b w:val="0"/>
                <w:i w:val="0"/>
                <w:snapToGrid/>
                <w:color w:val="000000"/>
                <w:sz w:val="21"/>
                <w:szCs w:val="21"/>
                <w:lang w:eastAsia="zh-CN"/>
              </w:rPr>
            </w:pPr>
          </w:p>
        </w:tc>
      </w:tr>
    </w:tbl>
    <w:p>
      <w:pPr>
        <w:keepNext w:val="0"/>
        <w:keepLines w:val="0"/>
        <w:pageBreakBefore w:val="0"/>
        <w:widowControl w:val="0"/>
        <w:kinsoku/>
        <w:wordWrap/>
        <w:overflowPunct/>
        <w:topLinePunct w:val="0"/>
        <w:autoSpaceDE/>
        <w:autoSpaceDN w:val="0"/>
        <w:bidi w:val="0"/>
        <w:adjustRightInd/>
        <w:snapToGrid/>
        <w:spacing w:before="0" w:beforeLines="0" w:after="0" w:afterLines="0" w:line="280" w:lineRule="exact"/>
        <w:ind w:left="0" w:leftChars="0" w:right="0" w:rightChars="0" w:firstLine="0" w:firstLineChars="0"/>
        <w:jc w:val="both"/>
        <w:textAlignment w:val="auto"/>
        <w:outlineLvl w:val="9"/>
      </w:pPr>
      <w:r>
        <w:rPr>
          <w:rFonts w:hint="eastAsia" w:ascii="方正仿宋_GBK" w:hAnsi="方正仿宋_GBK" w:cs="方正仿宋_GBK"/>
          <w:b w:val="0"/>
          <w:i w:val="0"/>
          <w:snapToGrid/>
          <w:color w:val="auto"/>
          <w:sz w:val="21"/>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Tahoma">
    <w:panose1 w:val="020B0604030504040204"/>
    <w:charset w:val="00"/>
    <w:family w:val="roman"/>
    <w:pitch w:val="default"/>
    <w:sig w:usb0="E1002EFF" w:usb1="C000605B" w:usb2="00000029" w:usb3="00000000" w:csb0="200101FF" w:csb1="20280000"/>
  </w:font>
  <w:font w:name="font-weight : 400">
    <w:altName w:val="Arial Unicode MS"/>
    <w:panose1 w:val="00000000000000000000"/>
    <w:charset w:val="00"/>
    <w:family w:val="auto"/>
    <w:pitch w:val="default"/>
    <w:sig w:usb0="00000000" w:usb1="0000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87B34"/>
    <w:rsid w:val="16F87B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2018-03-27T09:38:00Z</dcterms:created>
  <dc:creator>Administrator</dc:creator>
  <cp:lastModifiedBy>Administrator</cp:lastModifiedBy>
  <dcterms:modified xsi:type="dcterms:W3CDTF">2018-03-27T09:39:11Z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