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right="374"/>
        <w:rPr>
          <w:rFonts w:ascii="方正黑体_GBK" w:eastAsia="方正黑体_GBK"/>
          <w:color w:val="auto"/>
          <w:sz w:val="28"/>
          <w:szCs w:val="28"/>
          <w:shd w:val="clear" w:color="auto" w:fill="FFFFFF"/>
        </w:rPr>
      </w:pPr>
      <w:r>
        <w:rPr>
          <w:rFonts w:hint="eastAsia" w:ascii="方正黑体_GBK" w:eastAsia="方正黑体_GBK"/>
          <w:color w:val="auto"/>
          <w:sz w:val="28"/>
          <w:szCs w:val="28"/>
          <w:shd w:val="clear" w:color="auto" w:fill="FFFFFF"/>
        </w:rPr>
        <w:t>附件1</w:t>
      </w:r>
    </w:p>
    <w:tbl>
      <w:tblPr>
        <w:tblStyle w:val="4"/>
        <w:tblW w:w="910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729"/>
        <w:gridCol w:w="629"/>
        <w:gridCol w:w="811"/>
        <w:gridCol w:w="588"/>
        <w:gridCol w:w="1423"/>
        <w:gridCol w:w="1448"/>
        <w:gridCol w:w="563"/>
        <w:gridCol w:w="432"/>
        <w:gridCol w:w="1474"/>
        <w:gridCol w:w="6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1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方正小标宋_GBK" w:hAnsi="华文中宋" w:eastAsia="方正小标宋_GBK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华文中宋" w:eastAsia="方正小标宋_GBK"/>
                <w:color w:val="auto"/>
                <w:kern w:val="0"/>
                <w:sz w:val="44"/>
                <w:szCs w:val="44"/>
              </w:rPr>
              <w:t>重庆水利电力职业技术学院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方正小标宋_GBK" w:hAnsi="华文中宋" w:eastAsia="方正小标宋_GBK"/>
                <w:color w:val="auto"/>
                <w:sz w:val="44"/>
                <w:szCs w:val="44"/>
              </w:rPr>
            </w:pPr>
            <w:r>
              <w:rPr>
                <w:rFonts w:hint="eastAsia" w:ascii="方正小标宋_GBK" w:hAnsi="华文中宋" w:eastAsia="方正小标宋_GBK"/>
                <w:color w:val="auto"/>
                <w:kern w:val="0"/>
                <w:sz w:val="44"/>
                <w:szCs w:val="44"/>
              </w:rPr>
              <w:t>2018年考核招聘高层次人才岗位一览表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招聘部门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岗位类别及等级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名额</w:t>
            </w:r>
          </w:p>
        </w:tc>
        <w:tc>
          <w:tcPr>
            <w:tcW w:w="5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基本条件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宋体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Wingdings 2" w:eastAsia="方正黑体_GBK"/>
                <w:bCs/>
                <w:color w:val="auto"/>
                <w:szCs w:val="21"/>
              </w:rPr>
            </w:pPr>
            <w:r>
              <w:rPr>
                <w:rFonts w:hint="eastAsia" w:ascii="方正黑体_GBK" w:hAnsi="Wingdings 2" w:eastAsia="方正黑体_GBK"/>
                <w:bCs/>
                <w:color w:val="auto"/>
                <w:kern w:val="0"/>
                <w:szCs w:val="21"/>
              </w:rPr>
              <w:t>其他条件</w:t>
            </w: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水利工程系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教学及科研岗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专技10级及以上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全日制普通高校（博士）研究生学历并取得相应学位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水利类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1.博士研究生需发表专业相关论文2篇及以上；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2.高级职称者，学历可放宽至国民教育本科；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3.正高级职称者，年龄可放宽至50周岁；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4.其中特别优秀者，经市人社局同意，可适当放宽年龄。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机电与电子信息工程系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教学及科研岗1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专技10级及以上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全日制普通高校（博士）研究生学历并取得相应学位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机械类、自动化类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机电与电子信息工程系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教学及科研岗2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专技10级及以上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全日制普通高校（博士）研究生学历并取得相应学位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计算机类、电子信息类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市政工程系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教学及科研岗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专技10级及以上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全日制普通高校（博士）研究生学历并取得相应学位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土木类、矿业类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基础教学部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教学及科研岗1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专技10级及以上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全日制普通高校（博士）研究生学历并取得相应学位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中国语言文学类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基础教学部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教学及科研岗2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专技10级及以上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全日制普通高校（博士）研究生学历并取得相应学位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马克思主义理论类、历史学类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瀹嬩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5D33"/>
    <w:rsid w:val="2B845D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2018-08-09T03:55:00Z</dcterms:created>
  <dc:creator>Administrator</dc:creator>
  <cp:lastModifiedBy>Administrator</cp:lastModifiedBy>
  <dcterms:modified xsi:type="dcterms:W3CDTF">2018-08-09T03:55:50Z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