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3C0" w:rsidRDefault="003673C0" w:rsidP="003673C0">
      <w:pPr>
        <w:widowControl w:val="0"/>
        <w:spacing w:line="600" w:lineRule="exact"/>
        <w:jc w:val="both"/>
        <w:rPr>
          <w:rFonts w:ascii="方正小标宋简体" w:eastAsia="方正小标宋简体"/>
          <w:sz w:val="30"/>
          <w:szCs w:val="30"/>
        </w:rPr>
      </w:pPr>
      <w:r>
        <w:rPr>
          <w:rFonts w:ascii="方正小标宋简体" w:eastAsia="方正小标宋简体" w:hAnsi="宋体" w:cs="宋体" w:hint="eastAsia"/>
          <w:sz w:val="44"/>
          <w:szCs w:val="44"/>
        </w:rPr>
        <w:t>事业单位公开招聘工作人员考试（笔试）大纲</w:t>
      </w:r>
    </w:p>
    <w:p w:rsidR="003673C0" w:rsidRDefault="003673C0" w:rsidP="003673C0">
      <w:pPr>
        <w:widowControl w:val="0"/>
        <w:spacing w:line="600" w:lineRule="exact"/>
        <w:ind w:firstLineChars="200" w:firstLine="643"/>
        <w:jc w:val="center"/>
        <w:rPr>
          <w:rFonts w:ascii="黑体" w:eastAsia="黑体" w:hAnsi="黑体" w:cs="黑体"/>
          <w:b/>
          <w:szCs w:val="32"/>
        </w:rPr>
      </w:pPr>
    </w:p>
    <w:p w:rsidR="003673C0" w:rsidRDefault="003673C0" w:rsidP="003673C0">
      <w:pPr>
        <w:widowControl w:val="0"/>
        <w:spacing w:line="600" w:lineRule="exact"/>
        <w:ind w:firstLineChars="200" w:firstLine="723"/>
        <w:jc w:val="center"/>
        <w:rPr>
          <w:rFonts w:ascii="黑体" w:eastAsia="黑体" w:hAnsi="黑体" w:cs="黑体"/>
          <w:b/>
          <w:sz w:val="36"/>
          <w:szCs w:val="36"/>
        </w:rPr>
      </w:pPr>
      <w:r>
        <w:rPr>
          <w:rFonts w:ascii="黑体" w:eastAsia="黑体" w:hAnsi="黑体" w:cs="黑体" w:hint="eastAsia"/>
          <w:b/>
          <w:sz w:val="36"/>
          <w:szCs w:val="36"/>
        </w:rPr>
        <w:t>《职业能力倾向测验》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《职业能力倾向测验》总分100分，考试时间90分钟，全部为客观试题，题型均为单项选择题。考试内容主要包括：数量关系、言语理解与表达、判断推理、常识判断、资料分析五个部分。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第一部分：数量关系。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数据的分析、运算，解决数量关系的能力。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第二部分：言语理解与表达。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一、字、词准确含义的掌握与运用能力。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二、各类语句的准确表达方式的掌握与运用能力。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三、短文材料的概括能力，细节的理解与分析判断能力。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第三部分：判断推理。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一、二维图形和空间关系准确识别及推理的能力。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二、概念和标准的分析、判断能力。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三、推理、演绎、归纳等逻辑思维的综合运用能力。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第四部分：常识判断。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社会、历史、文学、天文、地理、军事等方面的基本知识及其运用能力。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第五部分：资料分析。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文字、图形、表格等资料的综合理解和分析加工能力。</w:t>
      </w:r>
    </w:p>
    <w:p w:rsidR="003673C0" w:rsidRDefault="003673C0" w:rsidP="003673C0">
      <w:pPr>
        <w:widowControl w:val="0"/>
        <w:spacing w:line="600" w:lineRule="exact"/>
        <w:ind w:firstLineChars="200" w:firstLine="640"/>
        <w:jc w:val="center"/>
        <w:rPr>
          <w:rFonts w:ascii="黑体" w:eastAsia="黑体" w:hAnsi="黑体" w:cs="黑体"/>
          <w:b/>
          <w:sz w:val="36"/>
          <w:szCs w:val="36"/>
        </w:rPr>
      </w:pPr>
      <w:r>
        <w:rPr>
          <w:rFonts w:ascii="仿宋_GB2312" w:hAnsi="仿宋_GB2312" w:cs="仿宋_GB2312" w:hint="eastAsia"/>
          <w:szCs w:val="32"/>
        </w:rPr>
        <w:br w:type="page"/>
      </w:r>
      <w:r>
        <w:rPr>
          <w:rFonts w:ascii="黑体" w:eastAsia="黑体" w:hAnsi="黑体" w:cs="黑体" w:hint="eastAsia"/>
          <w:b/>
          <w:sz w:val="36"/>
          <w:szCs w:val="36"/>
        </w:rPr>
        <w:lastRenderedPageBreak/>
        <w:t>《公共基础知识》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《公共基础知识》总分100分，考试时间90分钟，全部为客观试题。题型为单项选择题、多项选择题和是非判断题三种。考试内容主要包括：法律基础、中国特色社会主义理论、马克思主义哲学、应用文写作、经济与管理、公民道德建设、科技基础知识、四川省情、成都市情、时事政治等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第一部分：法律基础。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一、法的一般原理、法的制定与实施。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二、宪法性法律、行政法、民法、刑法、社会法、经济法等的基本概念和基本原则。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三、宪法性法律、行政法、民法、刑法、社会法、经济法等的法律关系、法律行为和适用范围等。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四、常见犯罪种类、特点与刑罚种类、裁量。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五、合同的订立、生效、履行、变更、终止和解除。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第二部分：中国特色社会主义理论。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第三部分：马克思主义哲学。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马克思主义哲学的主要内容及基本观点。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第四部分：应用文写作。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一、应用文含义、特点、种类、作用、格式规范。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二、法定公文的分类、构成要素、写作要求以及常用公文的撰写。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三、公文处理的概念、基本任务、基本原则，收文、发文处理的程序和方法，办毕公文的处置。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第五部分：经济与管理。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一、经济学的基本常识、基础理论及运用。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二、管理学的基本常识、基础理论及运用。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lastRenderedPageBreak/>
        <w:t>第六部分：公民道德建设。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一、公民道德建设的指导思想、方针原则及主要内容。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二、社会主义核心价值观的概念、内涵及基本原则。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第七部分：科技基础知识。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信息科学、生物技术、能源科学、空间技术、农业高科技等新技术的基本特点、作用及发展趋势。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第八部分：省情市情。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四川省和成都市的历史文化、人口与民族、区域经济、地理位置、地形地貌、气候特点。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第九部分：时事政治。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一、一年来国际、国内发生的重大事件。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二、国家、四川省、成都市近期出台的重大决策。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br w:type="page"/>
      </w:r>
    </w:p>
    <w:p w:rsidR="003673C0" w:rsidRDefault="003673C0" w:rsidP="003673C0">
      <w:pPr>
        <w:widowControl w:val="0"/>
        <w:spacing w:line="600" w:lineRule="exact"/>
        <w:ind w:firstLineChars="200" w:firstLine="843"/>
        <w:jc w:val="center"/>
        <w:rPr>
          <w:rFonts w:ascii="黑体" w:eastAsia="黑体" w:hAnsi="黑体" w:cs="黑体"/>
          <w:b/>
          <w:spacing w:val="30"/>
          <w:sz w:val="36"/>
          <w:szCs w:val="36"/>
        </w:rPr>
      </w:pPr>
      <w:r>
        <w:rPr>
          <w:rFonts w:ascii="黑体" w:eastAsia="黑体" w:hAnsi="黑体" w:cs="黑体" w:hint="eastAsia"/>
          <w:b/>
          <w:spacing w:val="30"/>
          <w:sz w:val="36"/>
          <w:szCs w:val="36"/>
        </w:rPr>
        <w:lastRenderedPageBreak/>
        <w:t>《医学基础知识》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《医学基础知识》总分100分，考试时间90分钟，全部为客观试题，题型为单项选择题、多项选择题和是非判断题三种。考查内容主要包括生物学、人体解剖学、生理学、药理学、病理学和诊断学六个部分。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第一部分：生物学。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细胞和生命的遗传、变异以及遗传病发病机理。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第二部分：人体解剖学。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运动系统、内脏学总论、消化系统、呼吸系统、泌尿系统、生殖系统、脉管系统、感觉器、神经系统和内分泌系统。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第三部分：生理学。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细胞的基本功能、血液、血液循环、呼吸、消化和吸收、能量代谢和体温、尿的生成和排出、感觉器官、神经系统的功能、内分泌及生殖。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第四部分：药理学。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药物效应动力学、药物代谢动力学以及常用国家基本药物的药理作用、临床应用、不良反应和禁忌症。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第五部分：病理学。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疾病概述、血液循环障碍、炎症、肿瘤、心血管系统疾病、呼吸系统疾病、消化系统疾病、泌尿系统疾病、女性生殖系统及乳腺疾病、传染病和寄生虫病等疾病的概念、病因、发病机制、特征、类型、病理变化。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第六部分：诊断学。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发热、疼痛、水肿、呼吸困难等多种常见症状的发生机制、临床表现、体征和鉴别。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br w:type="page"/>
      </w:r>
    </w:p>
    <w:p w:rsidR="003673C0" w:rsidRDefault="003673C0" w:rsidP="003673C0">
      <w:pPr>
        <w:widowControl w:val="0"/>
        <w:spacing w:line="600" w:lineRule="exact"/>
        <w:ind w:firstLineChars="200" w:firstLine="843"/>
        <w:jc w:val="center"/>
        <w:rPr>
          <w:rFonts w:ascii="黑体" w:eastAsia="黑体" w:hAnsi="黑体" w:cs="黑体"/>
          <w:b/>
          <w:spacing w:val="30"/>
          <w:sz w:val="36"/>
          <w:szCs w:val="36"/>
        </w:rPr>
      </w:pPr>
      <w:r>
        <w:rPr>
          <w:rFonts w:ascii="黑体" w:eastAsia="黑体" w:hAnsi="黑体" w:cs="黑体" w:hint="eastAsia"/>
          <w:b/>
          <w:spacing w:val="30"/>
          <w:sz w:val="36"/>
          <w:szCs w:val="36"/>
        </w:rPr>
        <w:lastRenderedPageBreak/>
        <w:t>《教育公共基础》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《教育公共基础》总分100分，考试时间90分钟，全部为客观性试题。题型为单项选择题、多项选择题和是非判断题三种。考试内容主要包括教育学基础、教育心理学、教育法学和教师职业道德四个部分。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第一部分：教育学基础。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教育与教育学、教育的功能、教育的目的、教师与学生、课程、课堂教学、学校德育、班级管理与班主任工作的基本理论。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第二部分：教育心理学。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心理发展与教育、学习与学习理论、学习的迁移、记忆和遗忘、学习策略与不同类型的学习、影响学习的心理因素、个别差异与教育以及学生心理健康教育。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第三部分：教育法学。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法与教育法、教育法律关系、教育法律规范、教育法制过程、教育法律责任、学生的权利及其维护、教师的权利及其维护以及教育法律救济。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第四部分：教师职业道德。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  <w:r w:rsidRPr="003673C0">
        <w:rPr>
          <w:rFonts w:ascii="宋体" w:eastAsia="宋体" w:hAnsi="宋体" w:cs="宋体" w:hint="eastAsia"/>
          <w:color w:val="000000"/>
          <w:sz w:val="24"/>
          <w:szCs w:val="21"/>
        </w:rPr>
        <w:t>教师职业道德概述、教师的职业道德规范以及教师职业道德的养成。</w:t>
      </w:r>
    </w:p>
    <w:p w:rsidR="003673C0" w:rsidRPr="003673C0" w:rsidRDefault="003673C0" w:rsidP="003673C0">
      <w:pPr>
        <w:widowControl w:val="0"/>
        <w:spacing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1"/>
        </w:rPr>
      </w:pPr>
    </w:p>
    <w:p w:rsidR="003673C0" w:rsidRDefault="003673C0" w:rsidP="003673C0">
      <w:pPr>
        <w:widowControl w:val="0"/>
        <w:spacing w:line="600" w:lineRule="exact"/>
        <w:jc w:val="both"/>
        <w:rPr>
          <w:rFonts w:ascii="仿宋_GB2312" w:hAnsi="仿宋_GB2312" w:cs="仿宋_GB2312"/>
          <w:szCs w:val="32"/>
        </w:rPr>
      </w:pPr>
    </w:p>
    <w:p w:rsidR="00A63A89" w:rsidRPr="003673C0" w:rsidRDefault="00A63A89" w:rsidP="003673C0">
      <w:pPr>
        <w:rPr>
          <w:szCs w:val="21"/>
        </w:rPr>
      </w:pPr>
    </w:p>
    <w:sectPr w:rsidR="00A63A89" w:rsidRPr="003673C0" w:rsidSect="003673C0">
      <w:headerReference w:type="default" r:id="rId6"/>
      <w:pgSz w:w="11906" w:h="16838"/>
      <w:pgMar w:top="1134" w:right="1134" w:bottom="1134" w:left="1134" w:header="1134" w:footer="992" w:gutter="0"/>
      <w:pgNumType w:fmt="numberInDash"/>
      <w:cols w:space="0"/>
      <w:docGrid w:type="lines" w:linePitch="4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AA8" w:rsidRDefault="00181AA8" w:rsidP="004B68CB">
      <w:r>
        <w:separator/>
      </w:r>
    </w:p>
  </w:endnote>
  <w:endnote w:type="continuationSeparator" w:id="0">
    <w:p w:rsidR="00181AA8" w:rsidRDefault="00181AA8" w:rsidP="004B68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AA8" w:rsidRDefault="00181AA8" w:rsidP="004B68CB">
      <w:r>
        <w:separator/>
      </w:r>
    </w:p>
  </w:footnote>
  <w:footnote w:type="continuationSeparator" w:id="0">
    <w:p w:rsidR="00181AA8" w:rsidRDefault="00181AA8" w:rsidP="004B68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9F3" w:rsidRDefault="00181AA8">
    <w:pPr>
      <w:widowControl w:val="0"/>
      <w:spacing w:line="300" w:lineRule="exact"/>
      <w:rPr>
        <w:rFonts w:ascii="楷体" w:eastAsia="楷体" w:hAnsi="楷体" w:cs="楷体"/>
        <w:color w:val="808080" w:themeColor="background1" w:themeShade="80"/>
        <w:sz w:val="24"/>
        <w:szCs w:val="24"/>
      </w:rPr>
    </w:pPr>
    <w:r>
      <w:rPr>
        <w:rFonts w:ascii="楷体" w:eastAsia="楷体" w:hAnsi="楷体" w:cs="楷体" w:hint="eastAsia"/>
        <w:color w:val="808080" w:themeColor="background1" w:themeShade="80"/>
        <w:sz w:val="24"/>
        <w:szCs w:val="24"/>
      </w:rPr>
      <w:t>事业单位公开招聘工作材料之一</w:t>
    </w:r>
    <w:r>
      <w:rPr>
        <w:rFonts w:ascii="楷体" w:eastAsia="楷体" w:hAnsi="楷体" w:cs="楷体" w:hint="eastAsia"/>
        <w:color w:val="808080" w:themeColor="background1" w:themeShade="80"/>
        <w:sz w:val="24"/>
        <w:szCs w:val="24"/>
      </w:rPr>
      <w:t xml:space="preserve">                                     </w:t>
    </w:r>
    <w:r>
      <w:rPr>
        <w:rFonts w:ascii="楷体" w:eastAsia="楷体" w:hAnsi="楷体" w:cs="楷体" w:hint="eastAsia"/>
        <w:color w:val="808080" w:themeColor="background1" w:themeShade="80"/>
        <w:sz w:val="24"/>
        <w:szCs w:val="24"/>
      </w:rPr>
      <w:t>考试大纲</w:t>
    </w:r>
    <w:r>
      <w:rPr>
        <w:rFonts w:ascii="楷体" w:eastAsia="楷体" w:hAnsi="楷体" w:cs="楷体" w:hint="eastAsia"/>
        <w:color w:val="808080" w:themeColor="background1" w:themeShade="80"/>
        <w:sz w:val="24"/>
        <w:szCs w:val="24"/>
      </w:rPr>
      <w:t xml:space="preserve">                                                             </w:t>
    </w:r>
  </w:p>
  <w:p w:rsidR="008879F3" w:rsidRDefault="00181AA8">
    <w:pPr>
      <w:widowControl w:val="0"/>
      <w:spacing w:line="300" w:lineRule="exact"/>
      <w:rPr>
        <w:rFonts w:ascii="楷体" w:eastAsia="楷体" w:hAnsi="楷体" w:cs="楷体"/>
        <w:color w:val="808080" w:themeColor="background1" w:themeShade="80"/>
      </w:rPr>
    </w:pPr>
    <w:r>
      <w:rPr>
        <w:rFonts w:ascii="楷体" w:eastAsia="楷体" w:hAnsi="楷体" w:cs="楷体" w:hint="eastAsia"/>
        <w:color w:val="808080" w:themeColor="background1" w:themeShade="80"/>
        <w:sz w:val="24"/>
        <w:szCs w:val="24"/>
      </w:rPr>
      <w:t>会议通知（</w:t>
    </w:r>
    <w:r>
      <w:rPr>
        <w:rFonts w:ascii="楷体" w:eastAsia="楷体" w:hAnsi="楷体" w:cs="楷体" w:hint="eastAsia"/>
        <w:color w:val="808080" w:themeColor="background1" w:themeShade="80"/>
        <w:sz w:val="24"/>
        <w:szCs w:val="24"/>
      </w:rPr>
      <w:t>7</w:t>
    </w:r>
    <w:r>
      <w:rPr>
        <w:rFonts w:ascii="楷体" w:eastAsia="楷体" w:hAnsi="楷体" w:cs="楷体" w:hint="eastAsia"/>
        <w:color w:val="808080" w:themeColor="background1" w:themeShade="80"/>
        <w:sz w:val="24"/>
        <w:szCs w:val="24"/>
      </w:rPr>
      <w:t>）</w:t>
    </w:r>
    <w:r>
      <w:rPr>
        <w:rFonts w:ascii="楷体" w:eastAsia="楷体" w:hAnsi="楷体" w:cs="楷体" w:hint="eastAsia"/>
        <w:color w:val="808080" w:themeColor="background1" w:themeShade="80"/>
        <w:sz w:val="24"/>
        <w:szCs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68CB"/>
    <w:rsid w:val="000E44A3"/>
    <w:rsid w:val="00181AA8"/>
    <w:rsid w:val="003673C0"/>
    <w:rsid w:val="004B68CB"/>
    <w:rsid w:val="00921CB7"/>
    <w:rsid w:val="00A63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3C0"/>
    <w:rPr>
      <w:rFonts w:ascii="Times New Roman" w:eastAsia="仿宋_GB2312" w:hAnsi="Times New Roman" w:cs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B68C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B68C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B68CB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B68CB"/>
    <w:rPr>
      <w:sz w:val="18"/>
      <w:szCs w:val="18"/>
    </w:rPr>
  </w:style>
  <w:style w:type="paragraph" w:styleId="a5">
    <w:name w:val="Normal (Web)"/>
    <w:basedOn w:val="a"/>
    <w:rsid w:val="004B68CB"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6">
    <w:name w:val="Strong"/>
    <w:basedOn w:val="a0"/>
    <w:qFormat/>
    <w:rsid w:val="004B68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294</Words>
  <Characters>1678</Characters>
  <Application>Microsoft Office Word</Application>
  <DocSecurity>0</DocSecurity>
  <Lines>13</Lines>
  <Paragraphs>3</Paragraphs>
  <ScaleCrop>false</ScaleCrop>
  <Company>Microsoft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KSZX</dc:creator>
  <cp:keywords/>
  <dc:description/>
  <cp:lastModifiedBy>KSZX</cp:lastModifiedBy>
  <cp:revision>3</cp:revision>
  <dcterms:created xsi:type="dcterms:W3CDTF">2020-05-20T01:36:00Z</dcterms:created>
  <dcterms:modified xsi:type="dcterms:W3CDTF">2020-05-20T01:42:00Z</dcterms:modified>
</cp:coreProperties>
</file>