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beforeAutospacing="0" w:after="0" w:line="600" w:lineRule="exact"/>
        <w:rPr>
          <w:rFonts w:hint="eastAsia" w:ascii="方正黑体_GBK" w:eastAsia="方正黑体_GBK"/>
          <w:sz w:val="32"/>
          <w:szCs w:val="32"/>
          <w:lang w:val="en-US" w:eastAsia="zh-CN"/>
        </w:rPr>
      </w:pPr>
      <w:r>
        <w:rPr>
          <w:rFonts w:hint="eastAsia" w:ascii="方正黑体_GBK" w:eastAsia="方正黑体_GBK"/>
          <w:sz w:val="32"/>
          <w:szCs w:val="32"/>
        </w:rPr>
        <w:t>附件</w:t>
      </w:r>
      <w:r>
        <w:rPr>
          <w:rFonts w:hint="eastAsia" w:ascii="方正黑体_GBK" w:eastAsia="方正黑体_GBK"/>
          <w:sz w:val="32"/>
          <w:szCs w:val="32"/>
          <w:lang w:val="en-US" w:eastAsia="zh-CN"/>
        </w:rPr>
        <w:t>1</w:t>
      </w:r>
    </w:p>
    <w:p>
      <w:pPr>
        <w:spacing w:after="0" w:line="600" w:lineRule="exact"/>
        <w:ind w:left="2"/>
        <w:jc w:val="center"/>
        <w:rPr>
          <w:rFonts w:ascii="方正小标宋_GBK" w:eastAsia="方正小标宋_GBK"/>
          <w:sz w:val="44"/>
          <w:szCs w:val="44"/>
        </w:rPr>
      </w:pPr>
      <w:bookmarkStart w:id="0" w:name="_GoBack"/>
      <w:r>
        <w:rPr>
          <w:rFonts w:hint="eastAsia" w:ascii="方正小标宋_GBK" w:eastAsia="方正小标宋_GBK"/>
          <w:sz w:val="44"/>
          <w:szCs w:val="44"/>
        </w:rPr>
        <w:t>专业化聘用人员招聘岗位汇总表</w:t>
      </w:r>
    </w:p>
    <w:bookmarkEnd w:id="0"/>
    <w:tbl>
      <w:tblPr>
        <w:tblStyle w:val="5"/>
        <w:tblW w:w="1434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6"/>
        <w:gridCol w:w="999"/>
        <w:gridCol w:w="1134"/>
        <w:gridCol w:w="1701"/>
        <w:gridCol w:w="709"/>
        <w:gridCol w:w="1410"/>
        <w:gridCol w:w="709"/>
        <w:gridCol w:w="2417"/>
        <w:gridCol w:w="2552"/>
        <w:gridCol w:w="155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tblHeader/>
          <w:jc w:val="center"/>
        </w:trPr>
        <w:tc>
          <w:tcPr>
            <w:tcW w:w="11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hint="eastAsia" w:eastAsia="方正黑体_GBK"/>
                <w:color w:val="000000"/>
                <w:sz w:val="21"/>
                <w:szCs w:val="21"/>
              </w:rPr>
              <w:t>招聘部门</w:t>
            </w:r>
          </w:p>
        </w:tc>
        <w:tc>
          <w:tcPr>
            <w:tcW w:w="213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岗位名称</w:t>
            </w: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岗位职责简介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招聘</w:t>
            </w:r>
          </w:p>
          <w:p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名额</w:t>
            </w:r>
          </w:p>
        </w:tc>
        <w:tc>
          <w:tcPr>
            <w:tcW w:w="708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招聘资格条件</w:t>
            </w:r>
          </w:p>
        </w:tc>
        <w:tc>
          <w:tcPr>
            <w:tcW w:w="155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hint="eastAsia" w:eastAsia="方正黑体_GBK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tblHeader/>
          <w:jc w:val="center"/>
        </w:trPr>
        <w:tc>
          <w:tcPr>
            <w:tcW w:w="11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213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320" w:lineRule="exact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年龄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政治</w:t>
            </w:r>
            <w:r>
              <w:rPr>
                <w:rFonts w:eastAsia="方正黑体_GBK"/>
                <w:color w:val="000000"/>
                <w:sz w:val="21"/>
                <w:szCs w:val="21"/>
              </w:rPr>
              <w:br w:type="textWrapping"/>
            </w:r>
            <w:r>
              <w:rPr>
                <w:rFonts w:eastAsia="方正黑体_GBK"/>
                <w:color w:val="000000"/>
                <w:sz w:val="21"/>
                <w:szCs w:val="21"/>
              </w:rPr>
              <w:t>面貌</w:t>
            </w:r>
          </w:p>
        </w:tc>
        <w:tc>
          <w:tcPr>
            <w:tcW w:w="2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专业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320" w:lineRule="exact"/>
              <w:jc w:val="center"/>
              <w:rPr>
                <w:rFonts w:eastAsia="方正黑体_GBK"/>
                <w:sz w:val="21"/>
                <w:szCs w:val="21"/>
              </w:rPr>
            </w:pPr>
            <w:r>
              <w:rPr>
                <w:rFonts w:eastAsia="方正黑体_GBK"/>
                <w:sz w:val="21"/>
                <w:szCs w:val="21"/>
              </w:rPr>
              <w:t>要求专业的</w:t>
            </w:r>
          </w:p>
          <w:p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sz w:val="21"/>
                <w:szCs w:val="21"/>
              </w:rPr>
              <w:t>学历学位</w:t>
            </w:r>
          </w:p>
        </w:tc>
        <w:tc>
          <w:tcPr>
            <w:tcW w:w="155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before="0" w:beforeAutospacing="0" w:after="0" w:line="320" w:lineRule="exact"/>
              <w:jc w:val="center"/>
              <w:rPr>
                <w:rFonts w:eastAsia="方正黑体_GBK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  <w:jc w:val="center"/>
        </w:trPr>
        <w:tc>
          <w:tcPr>
            <w:tcW w:w="11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1"/>
                <w:szCs w:val="21"/>
              </w:rPr>
              <w:t>产业局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ascii="Times New Roman" w:hAnsi="Times New Roman" w:eastAsia="方正仿宋_GBK"/>
                <w:sz w:val="21"/>
                <w:szCs w:val="21"/>
              </w:rPr>
            </w:pPr>
            <w:r>
              <w:rPr>
                <w:rFonts w:ascii="Times New Roman" w:hAnsi="Times New Roman" w:eastAsia="方正仿宋_GBK"/>
                <w:sz w:val="21"/>
                <w:szCs w:val="21"/>
              </w:rPr>
              <w:t>岗位1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/>
                <w:sz w:val="21"/>
                <w:szCs w:val="21"/>
              </w:rPr>
              <w:t>能源管理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1"/>
                <w:szCs w:val="21"/>
              </w:rPr>
              <w:t>负责燃气、液化石油气和醇基燃料等管理工作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1</w:t>
            </w:r>
          </w:p>
        </w:tc>
        <w:tc>
          <w:tcPr>
            <w:tcW w:w="141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应聘年龄在30周岁及以下，博士研究生可适当放宽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不限</w:t>
            </w: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计算机类、机械类、安全科学与工程类、矿业类（石油与天然气工程、</w:t>
            </w:r>
            <w:r>
              <w:rPr>
                <w:rFonts w:ascii="仿宋" w:hAnsi="仿宋" w:eastAsia="仿宋"/>
                <w:sz w:val="21"/>
                <w:szCs w:val="21"/>
              </w:rPr>
              <w:t>油气储运工程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）</w:t>
            </w:r>
          </w:p>
        </w:tc>
        <w:tc>
          <w:tcPr>
            <w:tcW w:w="2552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  <w:t>取得“双一流”高校或2020年QS世界大学排名前300名院校全日制硕士研究生及以上学位</w:t>
            </w:r>
          </w:p>
        </w:tc>
        <w:tc>
          <w:tcPr>
            <w:tcW w:w="155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</w:tcPr>
          <w:p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2" w:hRule="atLeast"/>
          <w:jc w:val="center"/>
        </w:trPr>
        <w:tc>
          <w:tcPr>
            <w:tcW w:w="115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after="0" w:line="240" w:lineRule="exact"/>
              <w:jc w:val="center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ascii="Times New Roman" w:hAnsi="Times New Roman" w:eastAsia="方正仿宋_GBK"/>
                <w:sz w:val="21"/>
                <w:szCs w:val="21"/>
              </w:rPr>
            </w:pPr>
            <w:r>
              <w:rPr>
                <w:rFonts w:ascii="Times New Roman" w:hAnsi="Times New Roman" w:eastAsia="方正仿宋_GBK"/>
                <w:sz w:val="21"/>
                <w:szCs w:val="21"/>
              </w:rPr>
              <w:t>岗位2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hint="eastAsia" w:eastAsia="方正仿宋_GBK"/>
                <w:sz w:val="21"/>
                <w:szCs w:val="21"/>
              </w:rPr>
              <w:t>工业项目管理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  <w:r>
              <w:rPr>
                <w:rFonts w:hint="eastAsia" w:eastAsia="方正仿宋_GBK"/>
                <w:sz w:val="21"/>
                <w:szCs w:val="21"/>
              </w:rPr>
              <w:t>负责工业项目产业认定、核准等工作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hint="eastAsia" w:eastAsia="方正仿宋_GBK"/>
                <w:sz w:val="21"/>
                <w:szCs w:val="21"/>
              </w:rPr>
              <w:t>1</w:t>
            </w:r>
          </w:p>
        </w:tc>
        <w:tc>
          <w:tcPr>
            <w:tcW w:w="141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240" w:lineRule="auto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不限</w:t>
            </w: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经济学</w:t>
            </w:r>
            <w:r>
              <w:rPr>
                <w:rFonts w:hint="eastAsia" w:eastAsia="方正仿宋_GBK"/>
                <w:sz w:val="21"/>
                <w:szCs w:val="21"/>
              </w:rPr>
              <w:t>类、公共</w:t>
            </w:r>
            <w:r>
              <w:rPr>
                <w:rFonts w:eastAsia="方正仿宋_GBK"/>
                <w:sz w:val="21"/>
                <w:szCs w:val="21"/>
              </w:rPr>
              <w:t>管理</w:t>
            </w:r>
            <w:r>
              <w:rPr>
                <w:rFonts w:hint="eastAsia" w:eastAsia="方正仿宋_GBK"/>
                <w:sz w:val="21"/>
                <w:szCs w:val="21"/>
              </w:rPr>
              <w:t>类、</w:t>
            </w:r>
            <w:r>
              <w:rPr>
                <w:rFonts w:eastAsia="方正仿宋_GBK"/>
                <w:sz w:val="21"/>
                <w:szCs w:val="21"/>
              </w:rPr>
              <w:t>法学</w:t>
            </w:r>
            <w:r>
              <w:rPr>
                <w:rFonts w:hint="eastAsia" w:eastAsia="方正仿宋_GBK"/>
                <w:sz w:val="21"/>
                <w:szCs w:val="21"/>
              </w:rPr>
              <w:t>类</w:t>
            </w:r>
          </w:p>
        </w:tc>
        <w:tc>
          <w:tcPr>
            <w:tcW w:w="255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1557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  <w:jc w:val="center"/>
        </w:trPr>
        <w:tc>
          <w:tcPr>
            <w:tcW w:w="115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after="0" w:line="240" w:lineRule="exact"/>
              <w:jc w:val="center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ascii="Times New Roman" w:hAnsi="Times New Roman" w:eastAsia="方正仿宋_GBK"/>
                <w:sz w:val="21"/>
                <w:szCs w:val="21"/>
              </w:rPr>
            </w:pPr>
            <w:r>
              <w:rPr>
                <w:rFonts w:ascii="Times New Roman" w:hAnsi="Times New Roman" w:eastAsia="方正仿宋_GBK"/>
                <w:sz w:val="21"/>
                <w:szCs w:val="21"/>
              </w:rPr>
              <w:t>岗位3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hint="eastAsia" w:eastAsia="方正仿宋_GBK"/>
                <w:sz w:val="21"/>
                <w:szCs w:val="21"/>
              </w:rPr>
              <w:t>工业互联网管理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  <w:r>
              <w:rPr>
                <w:rFonts w:hint="eastAsia" w:eastAsia="方正仿宋_GBK"/>
                <w:sz w:val="21"/>
                <w:szCs w:val="21"/>
              </w:rPr>
              <w:t>负责推动工业互联网相关产业发展工作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hint="eastAsia" w:eastAsia="方正仿宋_GBK"/>
                <w:sz w:val="21"/>
                <w:szCs w:val="21"/>
              </w:rPr>
              <w:t>1</w:t>
            </w:r>
          </w:p>
        </w:tc>
        <w:tc>
          <w:tcPr>
            <w:tcW w:w="141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240" w:lineRule="auto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不限</w:t>
            </w: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hint="eastAsia" w:eastAsia="方正仿宋_GBK"/>
                <w:sz w:val="21"/>
                <w:szCs w:val="21"/>
              </w:rPr>
              <w:t>公共管理类、计算机类、电子信息类</w:t>
            </w:r>
          </w:p>
        </w:tc>
        <w:tc>
          <w:tcPr>
            <w:tcW w:w="255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1557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4" w:hRule="atLeast"/>
          <w:jc w:val="center"/>
        </w:trPr>
        <w:tc>
          <w:tcPr>
            <w:tcW w:w="11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exact"/>
              <w:jc w:val="center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ascii="Times New Roman" w:hAnsi="Times New Roman" w:eastAsia="方正仿宋_GBK"/>
                <w:sz w:val="21"/>
                <w:szCs w:val="21"/>
              </w:rPr>
            </w:pPr>
            <w:r>
              <w:rPr>
                <w:rFonts w:ascii="Times New Roman" w:hAnsi="Times New Roman" w:eastAsia="方正仿宋_GBK"/>
                <w:sz w:val="21"/>
                <w:szCs w:val="21"/>
              </w:rPr>
              <w:t>岗位4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280" w:lineRule="exact"/>
              <w:jc w:val="center"/>
            </w:pPr>
            <w:r>
              <w:rPr>
                <w:rFonts w:hint="eastAsia" w:eastAsia="方正仿宋_GBK"/>
                <w:sz w:val="21"/>
                <w:szCs w:val="21"/>
              </w:rPr>
              <w:t>企业管理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280" w:lineRule="exact"/>
              <w:jc w:val="both"/>
            </w:pPr>
            <w:r>
              <w:rPr>
                <w:rFonts w:hint="eastAsia" w:eastAsia="方正仿宋_GBK"/>
                <w:sz w:val="21"/>
                <w:szCs w:val="21"/>
              </w:rPr>
              <w:t>负责企业运行监测分析等工作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w="141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240" w:lineRule="auto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不限</w:t>
            </w: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hint="eastAsia" w:eastAsia="方正仿宋_GBK"/>
                <w:sz w:val="21"/>
                <w:szCs w:val="21"/>
              </w:rPr>
              <w:t>经济学类、公共管理类、中国语言文学类、法学类</w:t>
            </w:r>
          </w:p>
        </w:tc>
        <w:tc>
          <w:tcPr>
            <w:tcW w:w="255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155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4" w:hRule="atLeast"/>
          <w:jc w:val="center"/>
        </w:trPr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1"/>
                <w:szCs w:val="21"/>
              </w:rPr>
              <w:t>产业局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ascii="Times New Roman" w:hAnsi="Times New Roman" w:eastAsia="方正仿宋_GBK"/>
                <w:sz w:val="21"/>
                <w:szCs w:val="21"/>
              </w:rPr>
            </w:pPr>
            <w:r>
              <w:rPr>
                <w:rFonts w:ascii="Times New Roman" w:hAnsi="Times New Roman" w:eastAsia="方正仿宋_GBK"/>
                <w:sz w:val="21"/>
                <w:szCs w:val="21"/>
              </w:rPr>
              <w:t>岗位5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hint="eastAsia" w:eastAsia="方正仿宋_GBK"/>
                <w:sz w:val="21"/>
                <w:szCs w:val="21"/>
              </w:rPr>
              <w:t>软件行业管理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  <w:r>
              <w:rPr>
                <w:rFonts w:hint="eastAsia" w:eastAsia="方正仿宋_GBK"/>
                <w:sz w:val="21"/>
                <w:szCs w:val="21"/>
              </w:rPr>
              <w:t>负责软件和信息服务业行业管理等工作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hint="eastAsia" w:eastAsia="方正仿宋_GBK"/>
                <w:sz w:val="21"/>
                <w:szCs w:val="21"/>
              </w:rPr>
              <w:t>1</w:t>
            </w: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应聘年龄在30周岁及以下，博士研究生可适当放宽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不限</w:t>
            </w: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12"/>
              </w:tabs>
              <w:spacing w:line="240" w:lineRule="exact"/>
              <w:ind w:left="176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hint="eastAsia" w:eastAsia="方正仿宋_GBK"/>
                <w:sz w:val="21"/>
                <w:szCs w:val="21"/>
              </w:rPr>
              <w:t>公共管理类、计算机类</w:t>
            </w:r>
          </w:p>
        </w:tc>
        <w:tc>
          <w:tcPr>
            <w:tcW w:w="2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取得“双一流”高校或2020年QS世界大学排名前300名院校全日制硕士研究生及以上学位</w:t>
            </w:r>
          </w:p>
        </w:tc>
        <w:tc>
          <w:tcPr>
            <w:tcW w:w="15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4" w:hRule="atLeast"/>
          <w:jc w:val="center"/>
        </w:trPr>
        <w:tc>
          <w:tcPr>
            <w:tcW w:w="11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1"/>
                <w:szCs w:val="21"/>
              </w:rPr>
              <w:t>现服局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  <w:t>岗位</w:t>
            </w:r>
            <w:r>
              <w:rPr>
                <w:rFonts w:hint="eastAsia" w:ascii="Times New Roman" w:hAnsi="Times New Roman" w:eastAsia="方正仿宋_GBK"/>
                <w:color w:val="000000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行业</w:t>
            </w:r>
            <w:r>
              <w:rPr>
                <w:rFonts w:eastAsia="方正仿宋_GBK"/>
                <w:color w:val="000000"/>
                <w:sz w:val="21"/>
                <w:szCs w:val="21"/>
              </w:rPr>
              <w:t>管理及经济运行分析岗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服务业</w:t>
            </w:r>
            <w:r>
              <w:rPr>
                <w:rFonts w:hint="eastAsia" w:eastAsia="方正仿宋_GBK"/>
                <w:color w:val="000000"/>
                <w:sz w:val="21"/>
                <w:szCs w:val="21"/>
              </w:rPr>
              <w:t>行</w:t>
            </w:r>
            <w:r>
              <w:rPr>
                <w:rFonts w:eastAsia="方正仿宋_GBK"/>
                <w:color w:val="000000"/>
                <w:sz w:val="21"/>
                <w:szCs w:val="21"/>
              </w:rPr>
              <w:t>业</w:t>
            </w:r>
            <w:r>
              <w:rPr>
                <w:rFonts w:hint="eastAsia" w:eastAsia="方正仿宋_GBK"/>
                <w:color w:val="000000"/>
                <w:sz w:val="21"/>
                <w:szCs w:val="21"/>
              </w:rPr>
              <w:t>管理相关</w:t>
            </w:r>
            <w:r>
              <w:rPr>
                <w:rFonts w:eastAsia="方正仿宋_GBK"/>
                <w:color w:val="000000"/>
                <w:sz w:val="21"/>
                <w:szCs w:val="21"/>
              </w:rPr>
              <w:t>工作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1</w:t>
            </w:r>
            <w:r>
              <w:rPr>
                <w:rFonts w:eastAsia="方正仿宋_GBK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141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应聘年龄在30周岁及以下，博士研究生可适当放宽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不限</w:t>
            </w: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经济学类</w:t>
            </w:r>
            <w:r>
              <w:rPr>
                <w:rFonts w:hint="eastAsia" w:eastAsia="方正仿宋_GBK"/>
                <w:color w:val="000000"/>
                <w:sz w:val="21"/>
                <w:szCs w:val="21"/>
              </w:rPr>
              <w:t>、</w:t>
            </w:r>
            <w:r>
              <w:rPr>
                <w:rFonts w:eastAsia="方正仿宋_GBK"/>
                <w:color w:val="000000"/>
                <w:sz w:val="21"/>
                <w:szCs w:val="21"/>
              </w:rPr>
              <w:t>经济与贸易类</w:t>
            </w:r>
            <w:r>
              <w:rPr>
                <w:rFonts w:hint="eastAsia" w:eastAsia="方正仿宋_GBK"/>
                <w:color w:val="000000"/>
                <w:sz w:val="21"/>
                <w:szCs w:val="21"/>
              </w:rPr>
              <w:t>、中国语言文学类、新闻传播学类、财政学类、统计学类、工商管理类</w:t>
            </w:r>
          </w:p>
        </w:tc>
        <w:tc>
          <w:tcPr>
            <w:tcW w:w="2552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取得“双一流”高校或2020年QS世界大学排名前300名院校全日制硕士研究生及以上学位</w:t>
            </w:r>
          </w:p>
        </w:tc>
        <w:tc>
          <w:tcPr>
            <w:tcW w:w="15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4" w:hRule="atLeast"/>
          <w:jc w:val="center"/>
        </w:trPr>
        <w:tc>
          <w:tcPr>
            <w:tcW w:w="11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  <w:t>岗位</w:t>
            </w:r>
            <w:r>
              <w:rPr>
                <w:rFonts w:hint="eastAsia" w:ascii="Times New Roman" w:hAnsi="Times New Roman" w:eastAsia="方正仿宋_GBK"/>
                <w:color w:val="000000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风险防控岗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防范和打击非法集资相关工作；行业安全检查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1</w:t>
            </w:r>
            <w:r>
              <w:rPr>
                <w:rFonts w:eastAsia="方正仿宋_GBK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141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不限</w:t>
            </w: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金融学类</w:t>
            </w:r>
            <w:r>
              <w:rPr>
                <w:rFonts w:hint="eastAsia" w:eastAsia="方正仿宋_GBK"/>
                <w:color w:val="000000"/>
                <w:sz w:val="21"/>
                <w:szCs w:val="21"/>
              </w:rPr>
              <w:t>、</w:t>
            </w:r>
            <w:r>
              <w:rPr>
                <w:rFonts w:eastAsia="方正仿宋_GBK"/>
                <w:color w:val="000000"/>
                <w:sz w:val="21"/>
                <w:szCs w:val="21"/>
              </w:rPr>
              <w:t>法学类</w:t>
            </w:r>
            <w:r>
              <w:rPr>
                <w:rFonts w:hint="eastAsia" w:eastAsia="方正仿宋_GBK"/>
                <w:color w:val="000000"/>
                <w:sz w:val="21"/>
                <w:szCs w:val="21"/>
              </w:rPr>
              <w:t>、政治学类、工商管理类</w:t>
            </w:r>
          </w:p>
        </w:tc>
        <w:tc>
          <w:tcPr>
            <w:tcW w:w="255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15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4" w:hRule="atLeast"/>
          <w:jc w:val="center"/>
        </w:trPr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1"/>
                <w:szCs w:val="21"/>
              </w:rPr>
              <w:t>科创局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1"/>
                <w:szCs w:val="21"/>
              </w:rPr>
              <w:t>岗位8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280" w:lineRule="exact"/>
              <w:jc w:val="center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1"/>
                <w:szCs w:val="21"/>
              </w:rPr>
              <w:t>高校及科研院所项目引进及服务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1"/>
                <w:szCs w:val="21"/>
              </w:rPr>
              <w:t>负责高校及科研院所项目对接、洽谈、引进及后续服务等相关工作。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1"/>
                <w:szCs w:val="21"/>
              </w:rPr>
              <w:t>2</w:t>
            </w: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  <w:t>应聘年龄在3</w:t>
            </w:r>
            <w:r>
              <w:rPr>
                <w:rFonts w:hint="eastAsia" w:ascii="Times New Roman" w:hAnsi="Times New Roman" w:eastAsia="方正仿宋_GBK"/>
                <w:color w:val="000000"/>
                <w:sz w:val="21"/>
                <w:szCs w:val="21"/>
              </w:rPr>
              <w:t>0</w:t>
            </w:r>
            <w:r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  <w:t>周岁及以下，博士研究生可适当放宽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  <w:t>不限</w:t>
            </w: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1"/>
                <w:szCs w:val="21"/>
              </w:rPr>
              <w:t>机械类、材料类、电子信息类、计算机类、生物医学工程类</w:t>
            </w:r>
          </w:p>
        </w:tc>
        <w:tc>
          <w:tcPr>
            <w:tcW w:w="2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取得“双一流”高校或2020年QS世界大学排名前300名院校全日制硕士研究生及以上学位</w:t>
            </w:r>
          </w:p>
        </w:tc>
        <w:tc>
          <w:tcPr>
            <w:tcW w:w="15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4" w:hRule="atLeast"/>
          <w:jc w:val="center"/>
        </w:trPr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1"/>
                <w:szCs w:val="21"/>
              </w:rPr>
              <w:t>自贸办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1"/>
                <w:szCs w:val="21"/>
              </w:rPr>
              <w:t>岗位9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口岸物流监管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协助从事综保区、口岸物流、多式联运发展等工作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3</w:t>
            </w: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  <w:t>应聘年龄在3</w:t>
            </w:r>
            <w:r>
              <w:rPr>
                <w:rFonts w:hint="eastAsia" w:ascii="Times New Roman" w:hAnsi="Times New Roman" w:eastAsia="方正仿宋_GBK"/>
                <w:color w:val="000000"/>
                <w:sz w:val="21"/>
                <w:szCs w:val="21"/>
              </w:rPr>
              <w:t>0</w:t>
            </w:r>
            <w:r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  <w:t>周岁及以下，博士研究生可适当放宽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不限</w:t>
            </w: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物流管理与工程类（物流工程等工程硕士专业）、管理科学与工程类（限营运与供应链管理专业）</w:t>
            </w:r>
          </w:p>
        </w:tc>
        <w:tc>
          <w:tcPr>
            <w:tcW w:w="2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取得“双一流”高校或2020年QS世界大学排名前300名院校全日制硕士研究生及以上学位</w:t>
            </w:r>
          </w:p>
        </w:tc>
        <w:tc>
          <w:tcPr>
            <w:tcW w:w="15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4" w:hRule="atLeast"/>
          <w:jc w:val="center"/>
        </w:trPr>
        <w:tc>
          <w:tcPr>
            <w:tcW w:w="11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1"/>
                <w:szCs w:val="21"/>
              </w:rPr>
              <w:t>司法局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1"/>
                <w:szCs w:val="21"/>
              </w:rPr>
              <w:t>岗位10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投资项目风控岗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协助参与招商谈判、合规性审查、风险防控等工作。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1</w:t>
            </w:r>
          </w:p>
        </w:tc>
        <w:tc>
          <w:tcPr>
            <w:tcW w:w="141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  <w:t>应聘年龄在3</w:t>
            </w:r>
            <w:r>
              <w:rPr>
                <w:rFonts w:hint="eastAsia" w:ascii="Times New Roman" w:hAnsi="Times New Roman" w:eastAsia="方正仿宋_GBK"/>
                <w:color w:val="000000"/>
                <w:sz w:val="21"/>
                <w:szCs w:val="21"/>
              </w:rPr>
              <w:t>0</w:t>
            </w:r>
            <w:r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  <w:t>周岁及以下，博士研究生可适当放宽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不限</w:t>
            </w: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法学类</w:t>
            </w:r>
          </w:p>
        </w:tc>
        <w:tc>
          <w:tcPr>
            <w:tcW w:w="2552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取得“双一流”高校或全国第四轮学科评估结果中法学学科为A级以上高校全日制硕士研究生及以上学历学位</w:t>
            </w:r>
          </w:p>
        </w:tc>
        <w:tc>
          <w:tcPr>
            <w:tcW w:w="155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hint="eastAsia" w:eastAsia="方正仿宋_GBK"/>
                <w:sz w:val="21"/>
                <w:szCs w:val="21"/>
              </w:rPr>
              <w:t>民商法学、民商法、国际民事诉讼与仲裁等专业优先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4" w:hRule="atLeast"/>
          <w:jc w:val="center"/>
        </w:trPr>
        <w:tc>
          <w:tcPr>
            <w:tcW w:w="11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1"/>
                <w:szCs w:val="21"/>
              </w:rPr>
              <w:t>岗位11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跨境争议解决岗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协助解决国内及跨境项目争端等工作。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1</w:t>
            </w:r>
          </w:p>
        </w:tc>
        <w:tc>
          <w:tcPr>
            <w:tcW w:w="141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不限</w:t>
            </w: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法学类</w:t>
            </w:r>
          </w:p>
        </w:tc>
        <w:tc>
          <w:tcPr>
            <w:tcW w:w="2552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1557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4" w:hRule="atLeast"/>
          <w:jc w:val="center"/>
        </w:trPr>
        <w:tc>
          <w:tcPr>
            <w:tcW w:w="11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1"/>
                <w:szCs w:val="21"/>
              </w:rPr>
              <w:t>岗位12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资本市场法律事务岗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协助参与证券资本市场等法律实务研究等工作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1</w:t>
            </w:r>
          </w:p>
        </w:tc>
        <w:tc>
          <w:tcPr>
            <w:tcW w:w="141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不限</w:t>
            </w: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法学类</w:t>
            </w:r>
          </w:p>
        </w:tc>
        <w:tc>
          <w:tcPr>
            <w:tcW w:w="255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155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4" w:hRule="atLeast"/>
          <w:jc w:val="center"/>
        </w:trPr>
        <w:tc>
          <w:tcPr>
            <w:tcW w:w="11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1"/>
                <w:szCs w:val="21"/>
              </w:rPr>
              <w:t>社发局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000000"/>
                <w:szCs w:val="21"/>
              </w:rPr>
              <w:t>岗位13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>
              <w:rPr>
                <w:rFonts w:hint="eastAsia" w:eastAsia="方正仿宋_GBK"/>
                <w:color w:val="000000"/>
                <w:szCs w:val="21"/>
              </w:rPr>
              <w:t>公共卫生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eastAsia="方正仿宋_GBK"/>
                <w:color w:val="000000"/>
                <w:szCs w:val="21"/>
              </w:rPr>
            </w:pPr>
            <w:r>
              <w:rPr>
                <w:rFonts w:hint="eastAsia" w:eastAsia="方正仿宋_GBK"/>
                <w:color w:val="000000"/>
                <w:szCs w:val="21"/>
              </w:rPr>
              <w:t>从事疫情防控、公共卫生服务管理等工作。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2</w:t>
            </w: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eastAsia="方正仿宋_GBK"/>
                <w:color w:val="00000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  <w:t>应聘年龄在3</w:t>
            </w:r>
            <w:r>
              <w:rPr>
                <w:rFonts w:hint="eastAsia" w:ascii="Times New Roman" w:hAnsi="Times New Roman" w:eastAsia="方正仿宋_GBK"/>
                <w:color w:val="000000"/>
                <w:sz w:val="21"/>
                <w:szCs w:val="21"/>
              </w:rPr>
              <w:t>0</w:t>
            </w:r>
            <w:r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  <w:t>周岁及以下，博士研究生可适当放宽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>
              <w:rPr>
                <w:rFonts w:hint="eastAsia" w:eastAsia="方正仿宋_GBK"/>
                <w:color w:val="000000"/>
                <w:szCs w:val="21"/>
              </w:rPr>
              <w:t>不限</w:t>
            </w: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>
              <w:rPr>
                <w:rFonts w:hint="eastAsia" w:eastAsia="方正仿宋_GBK"/>
                <w:color w:val="000000"/>
                <w:szCs w:val="21"/>
              </w:rPr>
              <w:t>医学（含药学）类、</w:t>
            </w:r>
            <w:r>
              <w:rPr>
                <w:rFonts w:hint="eastAsia" w:eastAsia="方正仿宋_GBK"/>
                <w:szCs w:val="21"/>
              </w:rPr>
              <w:t>社会医学与卫生事业管理</w:t>
            </w:r>
          </w:p>
        </w:tc>
        <w:tc>
          <w:tcPr>
            <w:tcW w:w="2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取得“双一流”高校或国内知名医学院校（含重庆医科大学、第三军医大学等）全日制硕士研究生及以上学历学位</w:t>
            </w:r>
          </w:p>
        </w:tc>
        <w:tc>
          <w:tcPr>
            <w:tcW w:w="15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</w:p>
          <w:p>
            <w:pPr>
              <w:rPr>
                <w:rFonts w:eastAsia="方正仿宋_GBK"/>
                <w:sz w:val="21"/>
                <w:szCs w:val="21"/>
              </w:rPr>
            </w:pPr>
          </w:p>
          <w:p>
            <w:pPr>
              <w:jc w:val="center"/>
              <w:rPr>
                <w:rFonts w:eastAsia="方正仿宋_GBK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4" w:hRule="atLeast"/>
          <w:jc w:val="center"/>
        </w:trPr>
        <w:tc>
          <w:tcPr>
            <w:tcW w:w="11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000000"/>
                <w:szCs w:val="21"/>
              </w:rPr>
              <w:t>岗位14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>
              <w:rPr>
                <w:rFonts w:hint="eastAsia" w:eastAsia="方正仿宋_GBK"/>
                <w:color w:val="000000"/>
                <w:szCs w:val="21"/>
              </w:rPr>
              <w:t>文体管理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方正仿宋_GBK" w:eastAsia="方正仿宋_GBK"/>
                <w:color w:val="000000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从事文化体育综合管理、群众文体活动组等工作。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2</w:t>
            </w: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eastAsia="方正仿宋_GBK"/>
                <w:color w:val="00000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  <w:t>应聘年龄在3</w:t>
            </w:r>
            <w:r>
              <w:rPr>
                <w:rFonts w:hint="eastAsia" w:ascii="Times New Roman" w:hAnsi="Times New Roman" w:eastAsia="方正仿宋_GBK"/>
                <w:color w:val="000000"/>
                <w:sz w:val="21"/>
                <w:szCs w:val="21"/>
              </w:rPr>
              <w:t>0</w:t>
            </w:r>
            <w:r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  <w:t>周岁及以下，博士研究生可适当放宽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不限</w:t>
            </w: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方正仿宋_GBK" w:eastAsia="方正仿宋_GBK"/>
                <w:color w:val="000000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中国语言文学类、艺术学类、体育学类、工商管理类、公共管理类</w:t>
            </w:r>
          </w:p>
        </w:tc>
        <w:tc>
          <w:tcPr>
            <w:tcW w:w="2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取得“双一流”高校或2020年QS世界大学排名前300名院校全日制硕士研究生及以上学历学位</w:t>
            </w:r>
          </w:p>
        </w:tc>
        <w:tc>
          <w:tcPr>
            <w:tcW w:w="15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</w:p>
        </w:tc>
      </w:tr>
    </w:tbl>
    <w:p>
      <w:pPr>
        <w:spacing w:before="0" w:beforeAutospacing="0" w:after="0" w:line="600" w:lineRule="exact"/>
        <w:rPr>
          <w:rFonts w:ascii="Times New Roman" w:hAnsi="Times New Roman" w:eastAsia="方正黑体_GBK"/>
          <w:sz w:val="32"/>
          <w:szCs w:val="32"/>
        </w:rPr>
      </w:pPr>
    </w:p>
    <w:sectPr>
      <w:pgSz w:w="16838" w:h="11906" w:orient="landscape"/>
      <w:pgMar w:top="1134" w:right="1134" w:bottom="1134" w:left="1134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B16"/>
    <w:rsid w:val="0015083B"/>
    <w:rsid w:val="003A636C"/>
    <w:rsid w:val="00562B16"/>
    <w:rsid w:val="005B5DE9"/>
    <w:rsid w:val="00627D3A"/>
    <w:rsid w:val="00871938"/>
    <w:rsid w:val="0087527C"/>
    <w:rsid w:val="00882F3E"/>
    <w:rsid w:val="009230EB"/>
    <w:rsid w:val="0095464E"/>
    <w:rsid w:val="00A3106E"/>
    <w:rsid w:val="00B41DCC"/>
    <w:rsid w:val="00BD6645"/>
    <w:rsid w:val="00C80399"/>
    <w:rsid w:val="00D33199"/>
    <w:rsid w:val="00E31B4E"/>
    <w:rsid w:val="00FF11D3"/>
    <w:rsid w:val="013830BE"/>
    <w:rsid w:val="060E503B"/>
    <w:rsid w:val="0B851677"/>
    <w:rsid w:val="0B8B6528"/>
    <w:rsid w:val="0E0C005E"/>
    <w:rsid w:val="10E04C38"/>
    <w:rsid w:val="12BC55D8"/>
    <w:rsid w:val="169A2DE4"/>
    <w:rsid w:val="1D1B7668"/>
    <w:rsid w:val="1DD076D6"/>
    <w:rsid w:val="20AF28F3"/>
    <w:rsid w:val="24CD4C7A"/>
    <w:rsid w:val="25E2004A"/>
    <w:rsid w:val="26FE60D8"/>
    <w:rsid w:val="288320D8"/>
    <w:rsid w:val="28FF2166"/>
    <w:rsid w:val="2A1200D2"/>
    <w:rsid w:val="2A4252D1"/>
    <w:rsid w:val="2E422339"/>
    <w:rsid w:val="36A81E8F"/>
    <w:rsid w:val="398C4C31"/>
    <w:rsid w:val="3C660068"/>
    <w:rsid w:val="40062B95"/>
    <w:rsid w:val="40195F50"/>
    <w:rsid w:val="480E7C0C"/>
    <w:rsid w:val="4A6D78B3"/>
    <w:rsid w:val="4CC52EED"/>
    <w:rsid w:val="50CA328E"/>
    <w:rsid w:val="522A16E8"/>
    <w:rsid w:val="559B3EF1"/>
    <w:rsid w:val="56F142CE"/>
    <w:rsid w:val="58A00B68"/>
    <w:rsid w:val="59625D13"/>
    <w:rsid w:val="5C03687B"/>
    <w:rsid w:val="5CBC3E00"/>
    <w:rsid w:val="5F000205"/>
    <w:rsid w:val="5F2F4D35"/>
    <w:rsid w:val="5F452C16"/>
    <w:rsid w:val="5FEB3791"/>
    <w:rsid w:val="6259266B"/>
    <w:rsid w:val="664647CF"/>
    <w:rsid w:val="68B11E9D"/>
    <w:rsid w:val="69E6421B"/>
    <w:rsid w:val="6C06760F"/>
    <w:rsid w:val="6C72384E"/>
    <w:rsid w:val="6F050E7F"/>
    <w:rsid w:val="6FA00A58"/>
    <w:rsid w:val="73814142"/>
    <w:rsid w:val="7451109C"/>
    <w:rsid w:val="78F13575"/>
    <w:rsid w:val="7F8D40DC"/>
    <w:rsid w:val="7FD26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00" w:beforeAutospacing="1" w:after="200" w:line="251" w:lineRule="auto"/>
    </w:pPr>
    <w:rPr>
      <w:rFonts w:ascii="Cambria" w:hAnsi="Cambria" w:eastAsia="宋体" w:cs="Times New Roman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iPriority w:val="0"/>
    <w:pPr>
      <w:spacing w:before="0" w:after="0" w:line="240" w:lineRule="auto"/>
    </w:pPr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uiPriority w:val="0"/>
    <w:rPr>
      <w:rFonts w:ascii="Cambria" w:hAnsi="Cambria"/>
      <w:sz w:val="18"/>
      <w:szCs w:val="18"/>
    </w:rPr>
  </w:style>
  <w:style w:type="character" w:customStyle="1" w:styleId="8">
    <w:name w:val="页眉 Char"/>
    <w:basedOn w:val="6"/>
    <w:link w:val="4"/>
    <w:qFormat/>
    <w:uiPriority w:val="0"/>
    <w:rPr>
      <w:rFonts w:ascii="Cambria" w:hAnsi="Cambria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rFonts w:ascii="Cambria" w:hAnsi="Cambri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408</Words>
  <Characters>2328</Characters>
  <Lines>19</Lines>
  <Paragraphs>5</Paragraphs>
  <TotalTime>58</TotalTime>
  <ScaleCrop>false</ScaleCrop>
  <LinksUpToDate>false</LinksUpToDate>
  <CharactersWithSpaces>2731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2020-05-17T06:00:00Z</dcterms:created>
  <dc:creator>AutoBVT</dc:creator>
  <cp:lastModifiedBy>--------</cp:lastModifiedBy>
  <cp:lastPrinted>2020-08-26T03:46:00Z</cp:lastPrinted>
  <dcterms:modified xsi:type="dcterms:W3CDTF">2020-08-28T04:48:45Z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