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12319" w:rsidRDefault="002E008E">
      <w:pPr>
        <w:widowControl/>
        <w:spacing w:line="600" w:lineRule="exact"/>
        <w:rPr>
          <w:rFonts w:ascii="Times New Roman" w:eastAsia="方正黑体_GBK" w:hAnsi="Times New Roman" w:cs="Times New Roman"/>
          <w:sz w:val="32"/>
          <w:szCs w:val="32"/>
        </w:rPr>
      </w:pPr>
      <w:bookmarkStart w:id="0" w:name="_GoBack"/>
      <w:bookmarkEnd w:id="0"/>
      <w:r>
        <w:rPr>
          <w:rFonts w:ascii="方正黑体_GBK" w:eastAsia="方正黑体_GBK" w:hAnsi="Times New Roman" w:cs="Times New Roman" w:hint="eastAsia"/>
          <w:sz w:val="32"/>
          <w:szCs w:val="32"/>
        </w:rPr>
        <w:t>附件</w:t>
      </w:r>
      <w:r>
        <w:rPr>
          <w:rFonts w:ascii="方正黑体_GBK" w:eastAsia="方正黑体_GBK" w:hAnsi="Times New Roman" w:cs="Times New Roman" w:hint="eastAsia"/>
          <w:sz w:val="32"/>
          <w:szCs w:val="32"/>
        </w:rPr>
        <w:t>2</w:t>
      </w:r>
    </w:p>
    <w:p w:rsidR="00012319" w:rsidRDefault="002E008E">
      <w:pPr>
        <w:widowControl/>
        <w:spacing w:line="600" w:lineRule="exact"/>
        <w:jc w:val="center"/>
        <w:rPr>
          <w:rFonts w:ascii="方正小标宋_GBK" w:eastAsia="方正小标宋_GBK" w:hAnsi="Times New Roman" w:cs="Times New Roman"/>
          <w:sz w:val="44"/>
          <w:szCs w:val="44"/>
        </w:rPr>
      </w:pPr>
      <w:r>
        <w:rPr>
          <w:rFonts w:ascii="方正小标宋_GBK" w:eastAsia="方正小标宋_GBK" w:hAnsi="Times New Roman" w:cs="Times New Roman" w:hint="eastAsia"/>
          <w:sz w:val="44"/>
          <w:szCs w:val="44"/>
        </w:rPr>
        <w:t>招收单位简介</w:t>
      </w:r>
    </w:p>
    <w:p w:rsidR="00012319" w:rsidRDefault="00012319">
      <w:pPr>
        <w:widowControl/>
        <w:spacing w:line="600" w:lineRule="exact"/>
        <w:rPr>
          <w:rFonts w:ascii="Times New Roman" w:eastAsia="方正仿宋_GBK" w:hAnsi="Times New Roman" w:cs="Times New Roman"/>
          <w:sz w:val="32"/>
          <w:szCs w:val="32"/>
        </w:rPr>
      </w:pP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一、联合微电子中心有限责任公司</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联合微电子中心有限责任公司（</w:t>
      </w:r>
      <w:r>
        <w:rPr>
          <w:rFonts w:ascii="Times New Roman" w:eastAsia="方正仿宋_GBK" w:hAnsi="Times New Roman" w:cs="Times New Roman" w:hint="eastAsia"/>
          <w:color w:val="000000"/>
          <w:kern w:val="0"/>
          <w:sz w:val="32"/>
          <w:szCs w:val="32"/>
        </w:rPr>
        <w:t>CUMEC</w:t>
      </w:r>
      <w:r>
        <w:rPr>
          <w:rFonts w:ascii="Times New Roman" w:eastAsia="方正仿宋_GBK" w:hAnsi="Times New Roman" w:cs="Times New Roman" w:hint="eastAsia"/>
          <w:color w:val="000000"/>
          <w:kern w:val="0"/>
          <w:sz w:val="32"/>
          <w:szCs w:val="32"/>
        </w:rPr>
        <w:t>）是重庆市政府倾力打造的国家级国际化新型研发机构，于</w:t>
      </w:r>
      <w:r>
        <w:rPr>
          <w:rFonts w:ascii="Times New Roman" w:eastAsia="方正仿宋_GBK" w:hAnsi="Times New Roman" w:cs="Times New Roman" w:hint="eastAsia"/>
          <w:color w:val="000000"/>
          <w:kern w:val="0"/>
          <w:sz w:val="32"/>
          <w:szCs w:val="32"/>
        </w:rPr>
        <w:t>2018</w:t>
      </w:r>
      <w:r>
        <w:rPr>
          <w:rFonts w:ascii="Times New Roman" w:eastAsia="方正仿宋_GBK" w:hAnsi="Times New Roman" w:cs="Times New Roman" w:hint="eastAsia"/>
          <w:color w:val="000000"/>
          <w:kern w:val="0"/>
          <w:sz w:val="32"/>
          <w:szCs w:val="32"/>
        </w:rPr>
        <w:t>年</w:t>
      </w:r>
      <w:r>
        <w:rPr>
          <w:rFonts w:ascii="Times New Roman" w:eastAsia="方正仿宋_GBK" w:hAnsi="Times New Roman" w:cs="Times New Roman" w:hint="eastAsia"/>
          <w:color w:val="000000"/>
          <w:kern w:val="0"/>
          <w:sz w:val="32"/>
          <w:szCs w:val="32"/>
        </w:rPr>
        <w:t>10</w:t>
      </w:r>
      <w:r>
        <w:rPr>
          <w:rFonts w:ascii="Times New Roman" w:eastAsia="方正仿宋_GBK" w:hAnsi="Times New Roman" w:cs="Times New Roman" w:hint="eastAsia"/>
          <w:color w:val="000000"/>
          <w:kern w:val="0"/>
          <w:sz w:val="32"/>
          <w:szCs w:val="32"/>
        </w:rPr>
        <w:t>月注册成立，首期投资超</w:t>
      </w:r>
      <w:r>
        <w:rPr>
          <w:rFonts w:ascii="Times New Roman" w:eastAsia="方正仿宋_GBK" w:hAnsi="Times New Roman" w:cs="Times New Roman" w:hint="eastAsia"/>
          <w:color w:val="000000"/>
          <w:kern w:val="0"/>
          <w:sz w:val="32"/>
          <w:szCs w:val="32"/>
        </w:rPr>
        <w:t>30</w:t>
      </w:r>
      <w:r>
        <w:rPr>
          <w:rFonts w:ascii="Times New Roman" w:eastAsia="方正仿宋_GBK" w:hAnsi="Times New Roman" w:cs="Times New Roman" w:hint="eastAsia"/>
          <w:color w:val="000000"/>
          <w:kern w:val="0"/>
          <w:sz w:val="32"/>
          <w:szCs w:val="32"/>
        </w:rPr>
        <w:t>亿元。</w:t>
      </w:r>
      <w:r>
        <w:rPr>
          <w:rFonts w:ascii="Times New Roman" w:eastAsia="方正仿宋_GBK" w:hAnsi="Times New Roman" w:cs="Times New Roman" w:hint="eastAsia"/>
          <w:color w:val="000000"/>
          <w:kern w:val="0"/>
          <w:sz w:val="32"/>
          <w:szCs w:val="32"/>
        </w:rPr>
        <w:t>CUMEC</w:t>
      </w:r>
      <w:r>
        <w:rPr>
          <w:rFonts w:ascii="Times New Roman" w:eastAsia="方正仿宋_GBK" w:hAnsi="Times New Roman" w:cs="Times New Roman" w:hint="eastAsia"/>
          <w:color w:val="000000"/>
          <w:kern w:val="0"/>
          <w:sz w:val="32"/>
          <w:szCs w:val="32"/>
        </w:rPr>
        <w:t>公司针对国家微电子行业高端发展需求，着力打造集技术、产品和工艺为一体的光电融合高端特色工艺平台，以硅基光电子、智能传感、高端特色工艺、微系统先进封装工艺等工艺技术和产品技术为核心，聚焦“后摩尔时代”世界集成电路发展主流趋势，探索“超越摩尔”的行业发展模式，汇聚海内外一流集成电路人才，打造国际一流的集成电路研发中心。</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二、重庆科技学院</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重庆科技学院是一所全日制公办普</w:t>
      </w:r>
      <w:r>
        <w:rPr>
          <w:rFonts w:ascii="Times New Roman" w:eastAsia="方正仿宋_GBK" w:hAnsi="Times New Roman" w:cs="Times New Roman" w:hint="eastAsia"/>
          <w:color w:val="000000"/>
          <w:kern w:val="0"/>
          <w:sz w:val="32"/>
          <w:szCs w:val="32"/>
        </w:rPr>
        <w:t>通高校，设有复杂油气田勘探开发、纳微复合材料与器件、非矿山安全与重大危险源监控、职业危害检测与鉴定和工业微生物发酵等</w:t>
      </w:r>
      <w:r>
        <w:rPr>
          <w:rFonts w:ascii="Times New Roman" w:eastAsia="方正仿宋_GBK" w:hAnsi="Times New Roman" w:cs="Times New Roman" w:hint="eastAsia"/>
          <w:color w:val="000000"/>
          <w:kern w:val="0"/>
          <w:sz w:val="32"/>
          <w:szCs w:val="32"/>
        </w:rPr>
        <w:t>5</w:t>
      </w:r>
      <w:r>
        <w:rPr>
          <w:rFonts w:ascii="Times New Roman" w:eastAsia="方正仿宋_GBK" w:hAnsi="Times New Roman" w:cs="Times New Roman" w:hint="eastAsia"/>
          <w:color w:val="000000"/>
          <w:kern w:val="0"/>
          <w:sz w:val="32"/>
          <w:szCs w:val="32"/>
        </w:rPr>
        <w:t>个省部级重点实验室，非常规油气田开发、工业过程在线分析与控制</w:t>
      </w:r>
      <w:r>
        <w:rPr>
          <w:rFonts w:ascii="Times New Roman" w:eastAsia="方正仿宋_GBK" w:hAnsi="Times New Roman" w:cs="Times New Roman" w:hint="eastAsia"/>
          <w:color w:val="000000"/>
          <w:kern w:val="0"/>
          <w:sz w:val="32"/>
          <w:szCs w:val="32"/>
        </w:rPr>
        <w:t>2</w:t>
      </w:r>
      <w:r>
        <w:rPr>
          <w:rFonts w:ascii="Times New Roman" w:eastAsia="方正仿宋_GBK" w:hAnsi="Times New Roman" w:cs="Times New Roman" w:hint="eastAsia"/>
          <w:color w:val="000000"/>
          <w:kern w:val="0"/>
          <w:sz w:val="32"/>
          <w:szCs w:val="32"/>
        </w:rPr>
        <w:t>个重庆市高校重点实验室，省部级工程技术研究中心</w:t>
      </w:r>
      <w:r>
        <w:rPr>
          <w:rFonts w:ascii="Times New Roman" w:eastAsia="方正仿宋_GBK" w:hAnsi="Times New Roman" w:cs="Times New Roman" w:hint="eastAsia"/>
          <w:color w:val="000000"/>
          <w:kern w:val="0"/>
          <w:sz w:val="32"/>
          <w:szCs w:val="32"/>
        </w:rPr>
        <w:t>8</w:t>
      </w:r>
      <w:r>
        <w:rPr>
          <w:rFonts w:ascii="Times New Roman" w:eastAsia="方正仿宋_GBK" w:hAnsi="Times New Roman" w:cs="Times New Roman" w:hint="eastAsia"/>
          <w:color w:val="000000"/>
          <w:kern w:val="0"/>
          <w:sz w:val="32"/>
          <w:szCs w:val="32"/>
        </w:rPr>
        <w:t>个，省部级社科研究中心</w:t>
      </w:r>
      <w:r>
        <w:rPr>
          <w:rFonts w:ascii="Times New Roman" w:eastAsia="方正仿宋_GBK" w:hAnsi="Times New Roman" w:cs="Times New Roman" w:hint="eastAsia"/>
          <w:color w:val="000000"/>
          <w:kern w:val="0"/>
          <w:sz w:val="32"/>
          <w:szCs w:val="32"/>
        </w:rPr>
        <w:t>1</w:t>
      </w:r>
      <w:r>
        <w:rPr>
          <w:rFonts w:ascii="Times New Roman" w:eastAsia="方正仿宋_GBK" w:hAnsi="Times New Roman" w:cs="Times New Roman" w:hint="eastAsia"/>
          <w:color w:val="000000"/>
          <w:kern w:val="0"/>
          <w:sz w:val="32"/>
          <w:szCs w:val="32"/>
        </w:rPr>
        <w:t>个和省部级科普基地</w:t>
      </w:r>
      <w:r>
        <w:rPr>
          <w:rFonts w:ascii="Times New Roman" w:eastAsia="方正仿宋_GBK" w:hAnsi="Times New Roman" w:cs="Times New Roman" w:hint="eastAsia"/>
          <w:color w:val="000000"/>
          <w:kern w:val="0"/>
          <w:sz w:val="32"/>
          <w:szCs w:val="32"/>
        </w:rPr>
        <w:t>3</w:t>
      </w:r>
      <w:r>
        <w:rPr>
          <w:rFonts w:ascii="Times New Roman" w:eastAsia="方正仿宋_GBK" w:hAnsi="Times New Roman" w:cs="Times New Roman" w:hint="eastAsia"/>
          <w:color w:val="000000"/>
          <w:kern w:val="0"/>
          <w:sz w:val="32"/>
          <w:szCs w:val="32"/>
        </w:rPr>
        <w:t>个。</w:t>
      </w:r>
      <w:r>
        <w:rPr>
          <w:rFonts w:ascii="Times New Roman" w:eastAsia="方正仿宋_GBK" w:hAnsi="Times New Roman" w:cs="Times New Roman" w:hint="eastAsia"/>
          <w:color w:val="000000"/>
          <w:kern w:val="0"/>
          <w:sz w:val="32"/>
          <w:szCs w:val="32"/>
        </w:rPr>
        <w:t>2010</w:t>
      </w:r>
      <w:r>
        <w:rPr>
          <w:rFonts w:ascii="Times New Roman" w:eastAsia="方正仿宋_GBK" w:hAnsi="Times New Roman" w:cs="Times New Roman" w:hint="eastAsia"/>
          <w:color w:val="000000"/>
          <w:kern w:val="0"/>
          <w:sz w:val="32"/>
          <w:szCs w:val="32"/>
        </w:rPr>
        <w:t>年以来，承担了国家</w:t>
      </w:r>
      <w:r>
        <w:rPr>
          <w:rFonts w:ascii="Times New Roman" w:eastAsia="方正仿宋_GBK" w:hAnsi="Times New Roman" w:cs="Times New Roman" w:hint="eastAsia"/>
          <w:color w:val="000000"/>
          <w:kern w:val="0"/>
          <w:sz w:val="32"/>
          <w:szCs w:val="32"/>
        </w:rPr>
        <w:t>863</w:t>
      </w:r>
      <w:r>
        <w:rPr>
          <w:rFonts w:ascii="Times New Roman" w:eastAsia="方正仿宋_GBK" w:hAnsi="Times New Roman" w:cs="Times New Roman" w:hint="eastAsia"/>
          <w:color w:val="000000"/>
          <w:kern w:val="0"/>
          <w:sz w:val="32"/>
          <w:szCs w:val="32"/>
        </w:rPr>
        <w:t>重大专项、国家自然科学基金和国家社会科学基金等近</w:t>
      </w:r>
      <w:r>
        <w:rPr>
          <w:rFonts w:ascii="Times New Roman" w:eastAsia="方正仿宋_GBK" w:hAnsi="Times New Roman" w:cs="Times New Roman" w:hint="eastAsia"/>
          <w:color w:val="000000"/>
          <w:kern w:val="0"/>
          <w:sz w:val="32"/>
          <w:szCs w:val="32"/>
        </w:rPr>
        <w:t>100</w:t>
      </w:r>
      <w:r>
        <w:rPr>
          <w:rFonts w:ascii="Times New Roman" w:eastAsia="方正仿宋_GBK" w:hAnsi="Times New Roman" w:cs="Times New Roman" w:hint="eastAsia"/>
          <w:color w:val="000000"/>
          <w:kern w:val="0"/>
          <w:sz w:val="32"/>
          <w:szCs w:val="32"/>
        </w:rPr>
        <w:t>项国</w:t>
      </w:r>
      <w:r>
        <w:rPr>
          <w:rFonts w:ascii="Times New Roman" w:eastAsia="方正仿宋_GBK" w:hAnsi="Times New Roman" w:cs="Times New Roman" w:hint="eastAsia"/>
          <w:color w:val="000000"/>
          <w:kern w:val="0"/>
          <w:sz w:val="32"/>
          <w:szCs w:val="32"/>
        </w:rPr>
        <w:lastRenderedPageBreak/>
        <w:t>家级课题，获得国家科技进步特等奖、国家技术发明及省部级科学进步奖</w:t>
      </w:r>
      <w:r>
        <w:rPr>
          <w:rFonts w:ascii="Times New Roman" w:eastAsia="方正仿宋_GBK" w:hAnsi="Times New Roman" w:cs="Times New Roman" w:hint="eastAsia"/>
          <w:color w:val="000000"/>
          <w:kern w:val="0"/>
          <w:sz w:val="32"/>
          <w:szCs w:val="32"/>
        </w:rPr>
        <w:t>61</w:t>
      </w:r>
      <w:r>
        <w:rPr>
          <w:rFonts w:ascii="Times New Roman" w:eastAsia="方正仿宋_GBK" w:hAnsi="Times New Roman" w:cs="Times New Roman" w:hint="eastAsia"/>
          <w:color w:val="000000"/>
          <w:kern w:val="0"/>
          <w:sz w:val="32"/>
          <w:szCs w:val="32"/>
        </w:rPr>
        <w:t>项；参与完成的“超深水半潜式钻井平台‘海洋石油</w:t>
      </w:r>
      <w:r>
        <w:rPr>
          <w:rFonts w:ascii="Times New Roman" w:eastAsia="方正仿宋_GBK" w:hAnsi="Times New Roman" w:cs="Times New Roman" w:hint="eastAsia"/>
          <w:color w:val="000000"/>
          <w:kern w:val="0"/>
          <w:sz w:val="32"/>
          <w:szCs w:val="32"/>
        </w:rPr>
        <w:t>981</w:t>
      </w:r>
      <w:r>
        <w:rPr>
          <w:rFonts w:ascii="Times New Roman" w:eastAsia="方正仿宋_GBK" w:hAnsi="Times New Roman" w:cs="Times New Roman" w:hint="eastAsia"/>
          <w:color w:val="000000"/>
          <w:kern w:val="0"/>
          <w:sz w:val="32"/>
          <w:szCs w:val="32"/>
        </w:rPr>
        <w:t>’研发与应用”成果获</w:t>
      </w:r>
      <w:r>
        <w:rPr>
          <w:rFonts w:ascii="Times New Roman" w:eastAsia="方正仿宋_GBK" w:hAnsi="Times New Roman" w:cs="Times New Roman" w:hint="eastAsia"/>
          <w:color w:val="000000"/>
          <w:kern w:val="0"/>
          <w:sz w:val="32"/>
          <w:szCs w:val="32"/>
        </w:rPr>
        <w:t>201</w:t>
      </w:r>
      <w:r>
        <w:rPr>
          <w:rFonts w:ascii="Times New Roman" w:eastAsia="方正仿宋_GBK" w:hAnsi="Times New Roman" w:cs="Times New Roman" w:hint="eastAsia"/>
          <w:color w:val="000000"/>
          <w:kern w:val="0"/>
          <w:sz w:val="32"/>
          <w:szCs w:val="32"/>
        </w:rPr>
        <w:t>4</w:t>
      </w:r>
      <w:r>
        <w:rPr>
          <w:rFonts w:ascii="Times New Roman" w:eastAsia="方正仿宋_GBK" w:hAnsi="Times New Roman" w:cs="Times New Roman" w:hint="eastAsia"/>
          <w:color w:val="000000"/>
          <w:kern w:val="0"/>
          <w:sz w:val="32"/>
          <w:szCs w:val="32"/>
        </w:rPr>
        <w:t>年度国家科技进步奖特等奖，“机械炉排式生活垃圾焚烧发电关键技术及应用”被授予中国产学研合作创新成果奖，连续</w:t>
      </w:r>
      <w:r>
        <w:rPr>
          <w:rFonts w:ascii="Times New Roman" w:eastAsia="方正仿宋_GBK" w:hAnsi="Times New Roman" w:cs="Times New Roman" w:hint="eastAsia"/>
          <w:color w:val="000000"/>
          <w:kern w:val="0"/>
          <w:sz w:val="32"/>
          <w:szCs w:val="32"/>
        </w:rPr>
        <w:t>7</w:t>
      </w:r>
      <w:r>
        <w:rPr>
          <w:rFonts w:ascii="Times New Roman" w:eastAsia="方正仿宋_GBK" w:hAnsi="Times New Roman" w:cs="Times New Roman" w:hint="eastAsia"/>
          <w:color w:val="000000"/>
          <w:kern w:val="0"/>
          <w:sz w:val="32"/>
          <w:szCs w:val="32"/>
        </w:rPr>
        <w:t>年科研经费超亿元。</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三、西安电子科技大学重庆集成电路创新研究院</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西安电子科技大学重庆集成电路创新研究院是由西安电子科技大学与重庆西永微电子产业园区共同组建的以集成电路产业为核心，跨领域、跨学科、开放式的产学研融合式技术创新研究机构，围绕硅光工艺及光电器件、集成电路设计、高性能核心电子元器件、硅基高速片上系统等领域开展基础科学研究、创新研究、人才培养、人才引进和成果转化工作。西电重研院以西安电子科技大</w:t>
      </w:r>
      <w:r>
        <w:rPr>
          <w:rFonts w:ascii="Times New Roman" w:eastAsia="方正仿宋_GBK" w:hAnsi="Times New Roman" w:cs="Times New Roman" w:hint="eastAsia"/>
          <w:color w:val="000000"/>
          <w:kern w:val="0"/>
          <w:sz w:val="32"/>
          <w:szCs w:val="32"/>
        </w:rPr>
        <w:t>学为科研和人才支撑，以区域发展定位和地方产业需求为导向，以微电子、集成电路和人工智能等领域为主要研发布局方向，全面开展物联网、片上雷达和人工智能等方向的应用基础研究、关键技术开发以及成果转移转化，并逐步扩展产学研合作领域，聚集行业精英企业和创业群体，将重研院打造成国内领先的新型研发机构。</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四、健康医疗大数据西部研究院</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健康医疗大数据西部研究院是由中国科学院与重庆高新区管委会合作共建、重庆高新技术产业开发区管理委员会举办的事</w:t>
      </w:r>
      <w:r>
        <w:rPr>
          <w:rFonts w:ascii="Times New Roman" w:eastAsia="方正仿宋_GBK" w:hAnsi="Times New Roman" w:cs="Times New Roman" w:hint="eastAsia"/>
          <w:color w:val="000000"/>
          <w:kern w:val="0"/>
          <w:sz w:val="32"/>
          <w:szCs w:val="32"/>
        </w:rPr>
        <w:lastRenderedPageBreak/>
        <w:t>业单位，</w:t>
      </w:r>
      <w:r>
        <w:rPr>
          <w:rFonts w:ascii="Times New Roman" w:eastAsia="方正仿宋_GBK" w:hAnsi="Times New Roman" w:cs="Times New Roman" w:hint="eastAsia"/>
          <w:color w:val="000000"/>
          <w:kern w:val="0"/>
          <w:sz w:val="32"/>
          <w:szCs w:val="32"/>
        </w:rPr>
        <w:t>2020</w:t>
      </w:r>
      <w:r>
        <w:rPr>
          <w:rFonts w:ascii="Times New Roman" w:eastAsia="方正仿宋_GBK" w:hAnsi="Times New Roman" w:cs="Times New Roman" w:hint="eastAsia"/>
          <w:color w:val="000000"/>
          <w:kern w:val="0"/>
          <w:sz w:val="32"/>
          <w:szCs w:val="32"/>
        </w:rPr>
        <w:t>年依法登记，</w:t>
      </w:r>
      <w:r>
        <w:rPr>
          <w:rFonts w:ascii="Times New Roman" w:eastAsia="方正仿宋_GBK" w:hAnsi="Times New Roman" w:cs="Times New Roman" w:hint="eastAsia"/>
          <w:color w:val="000000"/>
          <w:kern w:val="0"/>
          <w:sz w:val="32"/>
          <w:szCs w:val="32"/>
        </w:rPr>
        <w:t>2021</w:t>
      </w:r>
      <w:r>
        <w:rPr>
          <w:rFonts w:ascii="Times New Roman" w:eastAsia="方正仿宋_GBK" w:hAnsi="Times New Roman" w:cs="Times New Roman" w:hint="eastAsia"/>
          <w:color w:val="000000"/>
          <w:kern w:val="0"/>
          <w:sz w:val="32"/>
          <w:szCs w:val="32"/>
        </w:rPr>
        <w:t>年批准设立市级博士后科研工作站，同时也是重庆市新型</w:t>
      </w:r>
      <w:r>
        <w:rPr>
          <w:rFonts w:ascii="Times New Roman" w:eastAsia="方正仿宋_GBK" w:hAnsi="Times New Roman" w:cs="Times New Roman" w:hint="eastAsia"/>
          <w:color w:val="000000"/>
          <w:kern w:val="0"/>
          <w:sz w:val="32"/>
          <w:szCs w:val="32"/>
        </w:rPr>
        <w:t>高端研发机构。研究院以贯彻落实国家创新驱动发展战略、创新精准医疗技术，提升健康医疗资源整合服务能力，促进科技成果转移转化，推动生物医药产业升级为单位宗旨。在中国科学院战略先导科技专项的支持下，研究院主要承担“中国自然人群生物资源库”建设及运营工作，同时积极开展健康医疗大数据领域的科学研究、技术开发、成果转移转化和人才培养。</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五、重庆国家应用数学中心</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重庆国家应用数学中心是</w:t>
      </w:r>
      <w:r>
        <w:rPr>
          <w:rFonts w:ascii="Times New Roman" w:eastAsia="方正仿宋_GBK" w:hAnsi="Times New Roman" w:cs="Times New Roman" w:hint="eastAsia"/>
          <w:color w:val="000000"/>
          <w:kern w:val="0"/>
          <w:sz w:val="32"/>
          <w:szCs w:val="32"/>
        </w:rPr>
        <w:t>2020</w:t>
      </w:r>
      <w:r>
        <w:rPr>
          <w:rFonts w:ascii="Times New Roman" w:eastAsia="方正仿宋_GBK" w:hAnsi="Times New Roman" w:cs="Times New Roman" w:hint="eastAsia"/>
          <w:color w:val="000000"/>
          <w:kern w:val="0"/>
          <w:sz w:val="32"/>
          <w:szCs w:val="32"/>
        </w:rPr>
        <w:t>年</w:t>
      </w:r>
      <w:r>
        <w:rPr>
          <w:rFonts w:ascii="Times New Roman" w:eastAsia="方正仿宋_GBK" w:hAnsi="Times New Roman" w:cs="Times New Roman" w:hint="eastAsia"/>
          <w:color w:val="000000"/>
          <w:kern w:val="0"/>
          <w:sz w:val="32"/>
          <w:szCs w:val="32"/>
        </w:rPr>
        <w:t>2</w:t>
      </w:r>
      <w:r>
        <w:rPr>
          <w:rFonts w:ascii="Times New Roman" w:eastAsia="方正仿宋_GBK" w:hAnsi="Times New Roman" w:cs="Times New Roman" w:hint="eastAsia"/>
          <w:color w:val="000000"/>
          <w:kern w:val="0"/>
          <w:sz w:val="32"/>
          <w:szCs w:val="32"/>
        </w:rPr>
        <w:t>月经中华人民共和国科学技术部批准成立的首批</w:t>
      </w:r>
      <w:r>
        <w:rPr>
          <w:rFonts w:ascii="Times New Roman" w:eastAsia="方正仿宋_GBK" w:hAnsi="Times New Roman" w:cs="Times New Roman" w:hint="eastAsia"/>
          <w:color w:val="000000"/>
          <w:kern w:val="0"/>
          <w:sz w:val="32"/>
          <w:szCs w:val="32"/>
        </w:rPr>
        <w:t>13</w:t>
      </w:r>
      <w:r>
        <w:rPr>
          <w:rFonts w:ascii="Times New Roman" w:eastAsia="方正仿宋_GBK" w:hAnsi="Times New Roman" w:cs="Times New Roman" w:hint="eastAsia"/>
          <w:color w:val="000000"/>
          <w:kern w:val="0"/>
          <w:sz w:val="32"/>
          <w:szCs w:val="32"/>
        </w:rPr>
        <w:t>个国家应用数学中心之一。中心以重庆师范大学作为牵头单位，联合中国科学院大学、北京</w:t>
      </w:r>
      <w:r>
        <w:rPr>
          <w:rFonts w:ascii="Times New Roman" w:eastAsia="方正仿宋_GBK" w:hAnsi="Times New Roman" w:cs="Times New Roman" w:hint="eastAsia"/>
          <w:color w:val="000000"/>
          <w:kern w:val="0"/>
          <w:sz w:val="32"/>
          <w:szCs w:val="32"/>
        </w:rPr>
        <w:t>大学、重庆大学、西南大学、陆军军医大学等高校，中国科学院数学与系统科学研究院应用数学研究所、中国科学院绿色智能技术研究院、国网重庆市电力公司电力科学研究院等院所，与重庆长安汽车股份有限公司、重庆港务物流集团有限公司、马上消费金融股份有限公司、重庆猪八戒网络有限公司等核心单位合作共建。中心由国际系统与控制科学院院士、国家自然科学奖二等奖获得者杨新民教授担任主任。中心学术委员会由马志明、袁亚湘等</w:t>
      </w:r>
      <w:r>
        <w:rPr>
          <w:rFonts w:ascii="Times New Roman" w:eastAsia="方正仿宋_GBK" w:hAnsi="Times New Roman" w:cs="Times New Roman" w:hint="eastAsia"/>
          <w:color w:val="000000"/>
          <w:kern w:val="0"/>
          <w:sz w:val="32"/>
          <w:szCs w:val="32"/>
        </w:rPr>
        <w:t>10</w:t>
      </w:r>
      <w:r>
        <w:rPr>
          <w:rFonts w:ascii="Times New Roman" w:eastAsia="方正仿宋_GBK" w:hAnsi="Times New Roman" w:cs="Times New Roman" w:hint="eastAsia"/>
          <w:color w:val="000000"/>
          <w:kern w:val="0"/>
          <w:sz w:val="32"/>
          <w:szCs w:val="32"/>
        </w:rPr>
        <w:t>名中科院院士和</w:t>
      </w:r>
      <w:r>
        <w:rPr>
          <w:rFonts w:ascii="Times New Roman" w:eastAsia="方正仿宋_GBK" w:hAnsi="Times New Roman" w:cs="Times New Roman" w:hint="eastAsia"/>
          <w:color w:val="000000"/>
          <w:kern w:val="0"/>
          <w:sz w:val="32"/>
          <w:szCs w:val="32"/>
        </w:rPr>
        <w:t>11</w:t>
      </w:r>
      <w:r>
        <w:rPr>
          <w:rFonts w:ascii="Times New Roman" w:eastAsia="方正仿宋_GBK" w:hAnsi="Times New Roman" w:cs="Times New Roman" w:hint="eastAsia"/>
          <w:color w:val="000000"/>
          <w:kern w:val="0"/>
          <w:sz w:val="32"/>
          <w:szCs w:val="32"/>
        </w:rPr>
        <w:t>名数学领域知名专家组成。</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方正黑体_GBK" w:eastAsia="方正黑体_GBK" w:hAnsi="方正黑体_GBK" w:cs="方正黑体_GBK" w:hint="eastAsia"/>
          <w:color w:val="000000"/>
          <w:kern w:val="0"/>
          <w:sz w:val="32"/>
          <w:szCs w:val="32"/>
        </w:rPr>
        <w:t>六、北京理工大学重庆微电子中心</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lastRenderedPageBreak/>
        <w:t>北京理工大学重庆微电子中心为重庆市和北</w:t>
      </w:r>
      <w:r>
        <w:rPr>
          <w:rFonts w:ascii="Times New Roman" w:eastAsia="方正仿宋_GBK" w:hAnsi="Times New Roman" w:cs="Times New Roman" w:hint="eastAsia"/>
          <w:color w:val="000000"/>
          <w:kern w:val="0"/>
          <w:sz w:val="32"/>
          <w:szCs w:val="32"/>
        </w:rPr>
        <w:t>京理工大学共同发起的事业单位。中心基于国家对微电子与集成电路的重大需求，结合北京理工大学优势学科和西永微电园的产业基础，围绕微纳制造、</w:t>
      </w:r>
      <w:r>
        <w:rPr>
          <w:rFonts w:ascii="Times New Roman" w:eastAsia="方正仿宋_GBK" w:hAnsi="Times New Roman" w:cs="Times New Roman" w:hint="eastAsia"/>
          <w:color w:val="000000"/>
          <w:kern w:val="0"/>
          <w:sz w:val="32"/>
          <w:szCs w:val="32"/>
        </w:rPr>
        <w:t>MEMS</w:t>
      </w:r>
      <w:r>
        <w:rPr>
          <w:rFonts w:ascii="Times New Roman" w:eastAsia="方正仿宋_GBK" w:hAnsi="Times New Roman" w:cs="Times New Roman" w:hint="eastAsia"/>
          <w:color w:val="000000"/>
          <w:kern w:val="0"/>
          <w:sz w:val="32"/>
          <w:szCs w:val="32"/>
        </w:rPr>
        <w:t>智能传感、集成电路设计、新型半导体材料、以及轻量化声光电微系统等领域开展创新研究、人才培养和成果转化工作。</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七、北京大学重庆大数据研究院</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北京大学重庆大数据研究院是在重庆市人民政府的指导下，由重庆高新区管委会和北京大学共同举办的具有独立法人资格的重庆市属事业单位。研究院将在西部（重庆）科学城聚集培育科技创新人才，开展颠覆性和前沿引领创新研究，重点攻克大数据智能化和数字</w:t>
      </w:r>
      <w:r>
        <w:rPr>
          <w:rFonts w:ascii="Times New Roman" w:eastAsia="方正仿宋_GBK" w:hAnsi="Times New Roman" w:cs="Times New Roman" w:hint="eastAsia"/>
          <w:color w:val="000000"/>
          <w:kern w:val="0"/>
          <w:sz w:val="32"/>
          <w:szCs w:val="32"/>
        </w:rPr>
        <w:t>化转型的核心科学技术问题和创新应用瓶颈，促进科技成果转移转化，培育孵化科技企业，加快前沿技术的基础研究成果向试验发展创新和应用创新的转化，推进产业数字化与数字产业化，最终建成具有国际影响力、引领性的人才聚集平台、前沿研究和转化平台。研究院还将联合重庆高校院所，在科研攻关、人才培养等方面开展合作，加速建设一批国家和市级重点实验室、技术创新中心等创新平台。</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方正黑体_GBK" w:eastAsia="方正黑体_GBK" w:hAnsi="方正黑体_GBK" w:cs="方正黑体_GBK" w:hint="eastAsia"/>
          <w:color w:val="000000"/>
          <w:kern w:val="0"/>
          <w:sz w:val="32"/>
          <w:szCs w:val="32"/>
        </w:rPr>
        <w:t>八、重庆市风景园林科学研究院</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重庆市风景园林科学研究院成立于</w:t>
      </w:r>
      <w:r>
        <w:rPr>
          <w:rFonts w:ascii="Times New Roman" w:eastAsia="方正仿宋_GBK" w:hAnsi="Times New Roman" w:cs="Times New Roman" w:hint="eastAsia"/>
          <w:color w:val="000000"/>
          <w:kern w:val="0"/>
          <w:sz w:val="32"/>
          <w:szCs w:val="32"/>
        </w:rPr>
        <w:t>1980</w:t>
      </w:r>
      <w:r>
        <w:rPr>
          <w:rFonts w:ascii="Times New Roman" w:eastAsia="方正仿宋_GBK" w:hAnsi="Times New Roman" w:cs="Times New Roman" w:hint="eastAsia"/>
          <w:color w:val="000000"/>
          <w:kern w:val="0"/>
          <w:sz w:val="32"/>
          <w:szCs w:val="32"/>
        </w:rPr>
        <w:t>年，隶属于重庆市城市管理局，是市级公益一类科研院所。具备园林绿化基础应用</w:t>
      </w:r>
      <w:r>
        <w:rPr>
          <w:rFonts w:ascii="Times New Roman" w:eastAsia="方正仿宋_GBK" w:hAnsi="Times New Roman" w:cs="Times New Roman" w:hint="eastAsia"/>
          <w:color w:val="000000"/>
          <w:kern w:val="0"/>
          <w:sz w:val="32"/>
          <w:szCs w:val="32"/>
        </w:rPr>
        <w:lastRenderedPageBreak/>
        <w:t>研究、科研成果推</w:t>
      </w:r>
      <w:r>
        <w:rPr>
          <w:rFonts w:ascii="Times New Roman" w:eastAsia="方正仿宋_GBK" w:hAnsi="Times New Roman" w:cs="Times New Roman" w:hint="eastAsia"/>
          <w:color w:val="000000"/>
          <w:kern w:val="0"/>
          <w:sz w:val="32"/>
          <w:szCs w:val="32"/>
        </w:rPr>
        <w:t>广应用、技术咨询及信息交流服务等职能，承担主城区园林土壤质量检测服务和发布园林植物病虫害预警预报两项市级公共服务事项政务清单任务。承接重庆市智慧园林绿化管理信息系统平台建设、绿地植被健康体检、古树名木普查等市级重点工作。为政府决策提供科学依据，为行业管理提供科技支撑。</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九、重庆赛宝工业技术研究院有限公司</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重庆赛宝工业技术研究院有限公司又名工业和信息化部电子第五研究所西南分所、中国赛宝（西南）实验室，是中国赛宝实验室在重庆的分支机构，承担中国赛宝实验室在西南地区的科研生产和业务实施，是我国西南地区唯一的电子信</w:t>
      </w:r>
      <w:r>
        <w:rPr>
          <w:rFonts w:ascii="Times New Roman" w:eastAsia="方正仿宋_GBK" w:hAnsi="Times New Roman" w:cs="Times New Roman" w:hint="eastAsia"/>
          <w:color w:val="000000"/>
          <w:kern w:val="0"/>
          <w:sz w:val="32"/>
          <w:szCs w:val="32"/>
        </w:rPr>
        <w:t>息领域质量与可靠性专业综合性研究院。中国赛宝实验室是经国家授权具有管理与科研双重职能的我国最早的质量可靠性专业研究所，是电子信息行业质量与可靠性牵头单位，是国内同时具备</w:t>
      </w:r>
      <w:r>
        <w:rPr>
          <w:rFonts w:ascii="Times New Roman" w:eastAsia="方正仿宋_GBK" w:hAnsi="Times New Roman" w:cs="Times New Roman" w:hint="eastAsia"/>
          <w:color w:val="000000"/>
          <w:kern w:val="0"/>
          <w:sz w:val="32"/>
          <w:szCs w:val="32"/>
        </w:rPr>
        <w:t>CNAS</w:t>
      </w:r>
      <w:r>
        <w:rPr>
          <w:rFonts w:ascii="Times New Roman" w:eastAsia="方正仿宋_GBK" w:hAnsi="Times New Roman" w:cs="Times New Roman" w:hint="eastAsia"/>
          <w:color w:val="000000"/>
          <w:kern w:val="0"/>
          <w:sz w:val="32"/>
          <w:szCs w:val="32"/>
        </w:rPr>
        <w:t>和</w:t>
      </w:r>
      <w:r>
        <w:rPr>
          <w:rFonts w:ascii="Times New Roman" w:eastAsia="方正仿宋_GBK" w:hAnsi="Times New Roman" w:cs="Times New Roman" w:hint="eastAsia"/>
          <w:color w:val="000000"/>
          <w:kern w:val="0"/>
          <w:sz w:val="32"/>
          <w:szCs w:val="32"/>
        </w:rPr>
        <w:t>CMA</w:t>
      </w:r>
      <w:r>
        <w:rPr>
          <w:rFonts w:ascii="Times New Roman" w:eastAsia="方正仿宋_GBK" w:hAnsi="Times New Roman" w:cs="Times New Roman" w:hint="eastAsia"/>
          <w:color w:val="000000"/>
          <w:kern w:val="0"/>
          <w:sz w:val="32"/>
          <w:szCs w:val="32"/>
        </w:rPr>
        <w:t>双重资质的“一站式”和“全产业链”第三方检测认证机构。</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十、</w:t>
      </w:r>
      <w:r>
        <w:rPr>
          <w:rFonts w:ascii="方正黑体_GBK" w:eastAsia="方正黑体_GBK" w:hAnsi="方正黑体_GBK" w:cs="方正黑体_GBK"/>
          <w:color w:val="000000"/>
          <w:kern w:val="0"/>
          <w:sz w:val="32"/>
          <w:szCs w:val="32"/>
        </w:rPr>
        <w:t>清安储能技术有限公司</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color w:val="000000"/>
          <w:kern w:val="0"/>
          <w:sz w:val="32"/>
          <w:szCs w:val="32"/>
        </w:rPr>
        <w:t>清安储能技术有限公司</w:t>
      </w:r>
      <w:r>
        <w:rPr>
          <w:rFonts w:ascii="Times New Roman" w:eastAsia="方正仿宋_GBK" w:hAnsi="Times New Roman" w:cs="Times New Roman" w:hint="eastAsia"/>
          <w:color w:val="000000"/>
          <w:kern w:val="0"/>
          <w:sz w:val="32"/>
          <w:szCs w:val="32"/>
        </w:rPr>
        <w:t>是一家落户于西部科学城科学谷，专注于储能系统研发、制造、销售及服务的高新技术企业。核心团队毕业于清华大学、哈尔滨工业大学、墨尔本大学、德累斯顿大学等国内外知名高校，科研人员占公司</w:t>
      </w:r>
      <w:r>
        <w:rPr>
          <w:rFonts w:ascii="Times New Roman" w:eastAsia="方正仿宋_GBK" w:hAnsi="Times New Roman" w:cs="Times New Roman" w:hint="eastAsia"/>
          <w:color w:val="000000"/>
          <w:kern w:val="0"/>
          <w:sz w:val="32"/>
          <w:szCs w:val="32"/>
        </w:rPr>
        <w:t>80%</w:t>
      </w:r>
      <w:r>
        <w:rPr>
          <w:rFonts w:ascii="Times New Roman" w:eastAsia="方正仿宋_GBK" w:hAnsi="Times New Roman" w:cs="Times New Roman" w:hint="eastAsia"/>
          <w:color w:val="000000"/>
          <w:kern w:val="0"/>
          <w:sz w:val="32"/>
          <w:szCs w:val="32"/>
        </w:rPr>
        <w:t>以上</w:t>
      </w:r>
      <w:r>
        <w:rPr>
          <w:rFonts w:ascii="Times New Roman" w:eastAsia="方正仿宋_GBK" w:hAnsi="Times New Roman" w:cs="Times New Roman"/>
          <w:color w:val="000000"/>
          <w:kern w:val="0"/>
          <w:sz w:val="32"/>
          <w:szCs w:val="32"/>
        </w:rPr>
        <w:t>，</w:t>
      </w:r>
      <w:r>
        <w:rPr>
          <w:rFonts w:ascii="Times New Roman" w:eastAsia="方正仿宋_GBK" w:hAnsi="Times New Roman" w:cs="Times New Roman" w:hint="eastAsia"/>
          <w:color w:val="000000"/>
          <w:kern w:val="0"/>
          <w:sz w:val="32"/>
          <w:szCs w:val="32"/>
        </w:rPr>
        <w:t>在电池安全、</w:t>
      </w:r>
      <w:r>
        <w:rPr>
          <w:rFonts w:ascii="Times New Roman" w:eastAsia="方正仿宋_GBK" w:hAnsi="Times New Roman" w:cs="Times New Roman" w:hint="eastAsia"/>
          <w:color w:val="000000"/>
          <w:kern w:val="0"/>
          <w:sz w:val="32"/>
          <w:szCs w:val="32"/>
        </w:rPr>
        <w:lastRenderedPageBreak/>
        <w:t>电力系统、电力电子等领域有较高的技术和产品研发水平。公司基于清华大学汽车安全与节能国家重点实验室的研究成果，以多层级安全为核心技术，面向源网荷多个场景需求，将深耕于电池成组、电池管理系统、能量转换系统、能量管理系统等储能系统关键部件及系统的研发、制造与技术服务，致力于为客户提供完整的储能系统解决方案和数字能源管理服务。</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十一、电子科技大学重庆微电子产业技术研究院</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电子科技大学重庆微电子产业技术研究院（以下简称“研究院”）由重庆西永微电子产业园区与电子科技大学共同建，具有独立法人资质的事业单位，于</w:t>
      </w:r>
      <w:r>
        <w:rPr>
          <w:rFonts w:ascii="Times New Roman" w:eastAsia="方正仿宋_GBK" w:hAnsi="Times New Roman" w:cs="Times New Roman" w:hint="eastAsia"/>
          <w:color w:val="000000"/>
          <w:kern w:val="0"/>
          <w:sz w:val="32"/>
          <w:szCs w:val="32"/>
        </w:rPr>
        <w:t>2020</w:t>
      </w:r>
      <w:r>
        <w:rPr>
          <w:rFonts w:ascii="Times New Roman" w:eastAsia="方正仿宋_GBK" w:hAnsi="Times New Roman" w:cs="Times New Roman" w:hint="eastAsia"/>
          <w:color w:val="000000"/>
          <w:kern w:val="0"/>
          <w:sz w:val="32"/>
          <w:szCs w:val="32"/>
        </w:rPr>
        <w:t>年</w:t>
      </w:r>
      <w:r>
        <w:rPr>
          <w:rFonts w:ascii="Times New Roman" w:eastAsia="方正仿宋_GBK" w:hAnsi="Times New Roman" w:cs="Times New Roman" w:hint="eastAsia"/>
          <w:color w:val="000000"/>
          <w:kern w:val="0"/>
          <w:sz w:val="32"/>
          <w:szCs w:val="32"/>
        </w:rPr>
        <w:t>5</w:t>
      </w:r>
      <w:r>
        <w:rPr>
          <w:rFonts w:ascii="Times New Roman" w:eastAsia="方正仿宋_GBK" w:hAnsi="Times New Roman" w:cs="Times New Roman" w:hint="eastAsia"/>
          <w:color w:val="000000"/>
          <w:kern w:val="0"/>
          <w:sz w:val="32"/>
          <w:szCs w:val="32"/>
        </w:rPr>
        <w:t>月正式注册成立。总投入超过</w:t>
      </w:r>
      <w:r>
        <w:rPr>
          <w:rFonts w:ascii="Times New Roman" w:eastAsia="方正仿宋_GBK" w:hAnsi="Times New Roman" w:cs="Times New Roman" w:hint="eastAsia"/>
          <w:color w:val="000000"/>
          <w:kern w:val="0"/>
          <w:sz w:val="32"/>
          <w:szCs w:val="32"/>
        </w:rPr>
        <w:t>4</w:t>
      </w:r>
      <w:r>
        <w:rPr>
          <w:rFonts w:ascii="Times New Roman" w:eastAsia="方正仿宋_GBK" w:hAnsi="Times New Roman" w:cs="Times New Roman" w:hint="eastAsia"/>
          <w:color w:val="000000"/>
          <w:kern w:val="0"/>
          <w:sz w:val="32"/>
          <w:szCs w:val="32"/>
        </w:rPr>
        <w:t>亿元，总面积</w:t>
      </w:r>
      <w:r>
        <w:rPr>
          <w:rFonts w:ascii="Times New Roman" w:eastAsia="方正仿宋_GBK" w:hAnsi="Times New Roman" w:cs="Times New Roman" w:hint="eastAsia"/>
          <w:color w:val="000000"/>
          <w:kern w:val="0"/>
          <w:sz w:val="32"/>
          <w:szCs w:val="32"/>
        </w:rPr>
        <w:t>10000</w:t>
      </w:r>
      <w:r>
        <w:rPr>
          <w:rFonts w:ascii="Times New Roman" w:eastAsia="方正仿宋_GBK" w:hAnsi="Times New Roman" w:cs="Times New Roman" w:hint="eastAsia"/>
          <w:color w:val="000000"/>
          <w:kern w:val="0"/>
          <w:sz w:val="32"/>
          <w:szCs w:val="32"/>
        </w:rPr>
        <w:t>平米，现有全职员工</w:t>
      </w:r>
      <w:r>
        <w:rPr>
          <w:rFonts w:ascii="Times New Roman" w:eastAsia="方正仿宋_GBK" w:hAnsi="Times New Roman" w:cs="Times New Roman" w:hint="eastAsia"/>
          <w:color w:val="000000"/>
          <w:kern w:val="0"/>
          <w:sz w:val="32"/>
          <w:szCs w:val="32"/>
        </w:rPr>
        <w:t>20</w:t>
      </w:r>
      <w:r>
        <w:rPr>
          <w:rFonts w:ascii="Times New Roman" w:eastAsia="方正仿宋_GBK" w:hAnsi="Times New Roman" w:cs="Times New Roman" w:hint="eastAsia"/>
          <w:color w:val="000000"/>
          <w:kern w:val="0"/>
          <w:sz w:val="32"/>
          <w:szCs w:val="32"/>
        </w:rPr>
        <w:t>余人，兼职（副）教授</w:t>
      </w:r>
      <w:r>
        <w:rPr>
          <w:rFonts w:ascii="Times New Roman" w:eastAsia="方正仿宋_GBK" w:hAnsi="Times New Roman" w:cs="Times New Roman" w:hint="eastAsia"/>
          <w:color w:val="000000"/>
          <w:kern w:val="0"/>
          <w:sz w:val="32"/>
          <w:szCs w:val="32"/>
        </w:rPr>
        <w:t>30</w:t>
      </w:r>
      <w:r>
        <w:rPr>
          <w:rFonts w:ascii="Times New Roman" w:eastAsia="方正仿宋_GBK" w:hAnsi="Times New Roman" w:cs="Times New Roman" w:hint="eastAsia"/>
          <w:color w:val="000000"/>
          <w:kern w:val="0"/>
          <w:sz w:val="32"/>
          <w:szCs w:val="32"/>
        </w:rPr>
        <w:t>余人。研究院作为电子科技大学在重庆市的科技创新和科技成果转化平台，依托电子科技大学的人才和学科优势，以国家级示范性微电子学院、电子薄膜与集成器件国家重点实验室等国家级平台为基础，按照高质量、有特色的发展定位，围绕电子科技大学优势学科，结合西永微电园产业基础，形成微系统集成加工与测试、数模混合信号芯片及</w:t>
      </w:r>
      <w:r>
        <w:rPr>
          <w:rFonts w:ascii="Times New Roman" w:eastAsia="方正仿宋_GBK" w:hAnsi="Times New Roman" w:cs="Times New Roman" w:hint="eastAsia"/>
          <w:color w:val="000000"/>
          <w:kern w:val="0"/>
          <w:sz w:val="32"/>
          <w:szCs w:val="32"/>
        </w:rPr>
        <w:t>SoC</w:t>
      </w:r>
      <w:r>
        <w:rPr>
          <w:rFonts w:ascii="Times New Roman" w:eastAsia="方正仿宋_GBK" w:hAnsi="Times New Roman" w:cs="Times New Roman" w:hint="eastAsia"/>
          <w:color w:val="000000"/>
          <w:kern w:val="0"/>
          <w:sz w:val="32"/>
          <w:szCs w:val="32"/>
        </w:rPr>
        <w:t>系统、功率半导体、微波毫米波系统四大研究方向。</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十二、重庆中科超容科技有限公司</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重庆中科超容科技有限公司成立于</w:t>
      </w:r>
      <w:r>
        <w:rPr>
          <w:rFonts w:ascii="Times New Roman" w:eastAsia="方正仿宋_GBK" w:hAnsi="Times New Roman" w:cs="Times New Roman" w:hint="eastAsia"/>
          <w:color w:val="000000"/>
          <w:kern w:val="0"/>
          <w:sz w:val="32"/>
          <w:szCs w:val="32"/>
        </w:rPr>
        <w:t>2018</w:t>
      </w:r>
      <w:r>
        <w:rPr>
          <w:rFonts w:ascii="Times New Roman" w:eastAsia="方正仿宋_GBK" w:hAnsi="Times New Roman" w:cs="Times New Roman" w:hint="eastAsia"/>
          <w:color w:val="000000"/>
          <w:kern w:val="0"/>
          <w:sz w:val="32"/>
          <w:szCs w:val="32"/>
        </w:rPr>
        <w:t>年，由留美学者、中科院百人计划研究员刘双翼及其团队、中国科学院重庆绿色智</w:t>
      </w:r>
      <w:r>
        <w:rPr>
          <w:rFonts w:ascii="Times New Roman" w:eastAsia="方正仿宋_GBK" w:hAnsi="Times New Roman" w:cs="Times New Roman" w:hint="eastAsia"/>
          <w:color w:val="000000"/>
          <w:kern w:val="0"/>
          <w:sz w:val="32"/>
          <w:szCs w:val="32"/>
        </w:rPr>
        <w:lastRenderedPageBreak/>
        <w:t>能研究院、重庆石墨烯研究院共同创立。公司以“为世界提供储能智慧”为使命，“建设百年高科技品牌”为愿景，以“成就客户、高效奋斗和团队协作”为价值观，致力于前沿电化学储能科学技术的开发和转化，先进功率储能器件的开发、生产和销售，以及提供高效环保的储能技术服务。</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十三、</w:t>
      </w:r>
      <w:r>
        <w:rPr>
          <w:rFonts w:ascii="方正黑体_GBK" w:eastAsia="方正黑体_GBK" w:hAnsi="方正黑体_GBK" w:cs="方正黑体_GBK"/>
          <w:color w:val="000000"/>
          <w:kern w:val="0"/>
          <w:sz w:val="32"/>
          <w:szCs w:val="32"/>
        </w:rPr>
        <w:t>重庆杰品科技股份有限公司</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color w:val="000000"/>
          <w:kern w:val="0"/>
          <w:sz w:val="32"/>
          <w:szCs w:val="32"/>
        </w:rPr>
        <w:t>重庆杰品科技股份有限公司是一家以科技为本，研发与生产并重的国家级高新技术企业，注册资金为</w:t>
      </w:r>
      <w:r>
        <w:rPr>
          <w:rFonts w:ascii="Times New Roman" w:eastAsia="方正仿宋_GBK" w:hAnsi="Times New Roman" w:cs="Times New Roman"/>
          <w:color w:val="000000"/>
          <w:kern w:val="0"/>
          <w:sz w:val="32"/>
          <w:szCs w:val="32"/>
        </w:rPr>
        <w:t>5000</w:t>
      </w:r>
      <w:r>
        <w:rPr>
          <w:rFonts w:ascii="Times New Roman" w:eastAsia="方正仿宋_GBK" w:hAnsi="Times New Roman" w:cs="Times New Roman"/>
          <w:color w:val="000000"/>
          <w:kern w:val="0"/>
          <w:sz w:val="32"/>
          <w:szCs w:val="32"/>
        </w:rPr>
        <w:t>万元。公司前身是</w:t>
      </w:r>
      <w:r>
        <w:rPr>
          <w:rFonts w:ascii="Times New Roman" w:eastAsia="方正仿宋_GBK" w:hAnsi="Times New Roman" w:cs="Times New Roman"/>
          <w:color w:val="000000"/>
          <w:kern w:val="0"/>
          <w:sz w:val="32"/>
          <w:szCs w:val="32"/>
        </w:rPr>
        <w:t>重庆杰信模具股份有限公司，由重庆大学教授、博士生导师周杰先生于</w:t>
      </w:r>
      <w:r>
        <w:rPr>
          <w:rFonts w:ascii="Times New Roman" w:eastAsia="方正仿宋_GBK" w:hAnsi="Times New Roman" w:cs="Times New Roman"/>
          <w:color w:val="000000"/>
          <w:kern w:val="0"/>
          <w:sz w:val="32"/>
          <w:szCs w:val="32"/>
        </w:rPr>
        <w:t>2000</w:t>
      </w:r>
      <w:r>
        <w:rPr>
          <w:rFonts w:ascii="Times New Roman" w:eastAsia="方正仿宋_GBK" w:hAnsi="Times New Roman" w:cs="Times New Roman"/>
          <w:color w:val="000000"/>
          <w:kern w:val="0"/>
          <w:sz w:val="32"/>
          <w:szCs w:val="32"/>
        </w:rPr>
        <w:t>年</w:t>
      </w:r>
      <w:r>
        <w:rPr>
          <w:rFonts w:ascii="Times New Roman" w:eastAsia="方正仿宋_GBK" w:hAnsi="Times New Roman" w:cs="Times New Roman"/>
          <w:color w:val="000000"/>
          <w:kern w:val="0"/>
          <w:sz w:val="32"/>
          <w:szCs w:val="32"/>
        </w:rPr>
        <w:t>8</w:t>
      </w:r>
      <w:r>
        <w:rPr>
          <w:rFonts w:ascii="Times New Roman" w:eastAsia="方正仿宋_GBK" w:hAnsi="Times New Roman" w:cs="Times New Roman"/>
          <w:color w:val="000000"/>
          <w:kern w:val="0"/>
          <w:sz w:val="32"/>
          <w:szCs w:val="32"/>
        </w:rPr>
        <w:t>月创建，</w:t>
      </w:r>
      <w:r>
        <w:rPr>
          <w:rFonts w:ascii="Times New Roman" w:eastAsia="方正仿宋_GBK" w:hAnsi="Times New Roman" w:cs="Times New Roman"/>
          <w:color w:val="000000"/>
          <w:kern w:val="0"/>
          <w:sz w:val="32"/>
          <w:szCs w:val="32"/>
        </w:rPr>
        <w:t>2013</w:t>
      </w:r>
      <w:r>
        <w:rPr>
          <w:rFonts w:ascii="Times New Roman" w:eastAsia="方正仿宋_GBK" w:hAnsi="Times New Roman" w:cs="Times New Roman"/>
          <w:color w:val="000000"/>
          <w:kern w:val="0"/>
          <w:sz w:val="32"/>
          <w:szCs w:val="32"/>
        </w:rPr>
        <w:t>年</w:t>
      </w:r>
      <w:r>
        <w:rPr>
          <w:rFonts w:ascii="Times New Roman" w:eastAsia="方正仿宋_GBK" w:hAnsi="Times New Roman" w:cs="Times New Roman"/>
          <w:color w:val="000000"/>
          <w:kern w:val="0"/>
          <w:sz w:val="32"/>
          <w:szCs w:val="32"/>
        </w:rPr>
        <w:t>2</w:t>
      </w:r>
      <w:r>
        <w:rPr>
          <w:rFonts w:ascii="Times New Roman" w:eastAsia="方正仿宋_GBK" w:hAnsi="Times New Roman" w:cs="Times New Roman"/>
          <w:color w:val="000000"/>
          <w:kern w:val="0"/>
          <w:sz w:val="32"/>
          <w:szCs w:val="32"/>
        </w:rPr>
        <w:t>月由同一法人代表控制下的重庆杰品科技有限公司股改后吸收合并，成立了重庆杰品科技股份有限公司，周杰教授为公司法人代表，任董事长；目前公司拥有</w:t>
      </w:r>
      <w:r>
        <w:rPr>
          <w:rFonts w:ascii="Times New Roman" w:eastAsia="方正仿宋_GBK" w:hAnsi="Times New Roman" w:cs="Times New Roman"/>
          <w:color w:val="000000"/>
          <w:kern w:val="0"/>
          <w:sz w:val="32"/>
          <w:szCs w:val="32"/>
        </w:rPr>
        <w:t>7</w:t>
      </w:r>
      <w:r>
        <w:rPr>
          <w:rFonts w:ascii="Times New Roman" w:eastAsia="方正仿宋_GBK" w:hAnsi="Times New Roman" w:cs="Times New Roman"/>
          <w:color w:val="000000"/>
          <w:kern w:val="0"/>
          <w:sz w:val="32"/>
          <w:szCs w:val="32"/>
        </w:rPr>
        <w:t>个合资合作公司，</w:t>
      </w:r>
      <w:r>
        <w:rPr>
          <w:rFonts w:ascii="Times New Roman" w:eastAsia="方正仿宋_GBK" w:hAnsi="Times New Roman" w:cs="Times New Roman"/>
          <w:color w:val="000000"/>
          <w:kern w:val="0"/>
          <w:sz w:val="32"/>
          <w:szCs w:val="32"/>
        </w:rPr>
        <w:t>5</w:t>
      </w:r>
      <w:r>
        <w:rPr>
          <w:rFonts w:ascii="Times New Roman" w:eastAsia="方正仿宋_GBK" w:hAnsi="Times New Roman" w:cs="Times New Roman"/>
          <w:color w:val="000000"/>
          <w:kern w:val="0"/>
          <w:sz w:val="32"/>
          <w:szCs w:val="32"/>
        </w:rPr>
        <w:t>个事业部，是重庆股权交易中心挂牌上市企业。</w:t>
      </w:r>
    </w:p>
    <w:p w:rsidR="00012319" w:rsidRDefault="002E008E">
      <w:pPr>
        <w:spacing w:line="600" w:lineRule="exact"/>
        <w:ind w:firstLineChars="200" w:firstLine="640"/>
        <w:rPr>
          <w:rFonts w:ascii="方正黑体_GBK" w:eastAsia="方正黑体_GBK" w:hAnsi="方正黑体_GBK" w:cs="方正黑体_GBK"/>
          <w:color w:val="000000"/>
          <w:kern w:val="0"/>
          <w:sz w:val="32"/>
          <w:szCs w:val="32"/>
        </w:rPr>
      </w:pPr>
      <w:r>
        <w:rPr>
          <w:rFonts w:ascii="方正黑体_GBK" w:eastAsia="方正黑体_GBK" w:hAnsi="方正黑体_GBK" w:cs="方正黑体_GBK" w:hint="eastAsia"/>
          <w:color w:val="000000"/>
          <w:kern w:val="0"/>
          <w:sz w:val="32"/>
          <w:szCs w:val="32"/>
        </w:rPr>
        <w:t>十四、重庆效隆神思科技发展有限公司</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Times New Roman" w:eastAsia="方正仿宋_GBK" w:hAnsi="Times New Roman" w:cs="Times New Roman" w:hint="eastAsia"/>
          <w:color w:val="000000"/>
          <w:kern w:val="0"/>
          <w:sz w:val="32"/>
          <w:szCs w:val="32"/>
        </w:rPr>
        <w:t>重庆效隆神思科技发展有限公司成立于</w:t>
      </w:r>
      <w:r>
        <w:rPr>
          <w:rFonts w:ascii="Times New Roman" w:eastAsia="方正仿宋_GBK" w:hAnsi="Times New Roman" w:cs="Times New Roman"/>
          <w:color w:val="000000"/>
          <w:kern w:val="0"/>
          <w:sz w:val="32"/>
          <w:szCs w:val="32"/>
        </w:rPr>
        <w:t>2021</w:t>
      </w:r>
      <w:r>
        <w:rPr>
          <w:rFonts w:ascii="Times New Roman" w:eastAsia="方正仿宋_GBK" w:hAnsi="Times New Roman" w:cs="Times New Roman"/>
          <w:color w:val="000000"/>
          <w:kern w:val="0"/>
          <w:sz w:val="32"/>
          <w:szCs w:val="32"/>
        </w:rPr>
        <w:t>年</w:t>
      </w:r>
      <w:r>
        <w:rPr>
          <w:rFonts w:ascii="Times New Roman" w:eastAsia="方正仿宋_GBK" w:hAnsi="Times New Roman" w:cs="Times New Roman"/>
          <w:color w:val="000000"/>
          <w:kern w:val="0"/>
          <w:sz w:val="32"/>
          <w:szCs w:val="32"/>
        </w:rPr>
        <w:t>2</w:t>
      </w:r>
      <w:r>
        <w:rPr>
          <w:rFonts w:ascii="Times New Roman" w:eastAsia="方正仿宋_GBK" w:hAnsi="Times New Roman" w:cs="Times New Roman"/>
          <w:color w:val="000000"/>
          <w:kern w:val="0"/>
          <w:sz w:val="32"/>
          <w:szCs w:val="32"/>
        </w:rPr>
        <w:t>月，为重庆市高新区引进的高新技术企业</w:t>
      </w:r>
      <w:r>
        <w:rPr>
          <w:rFonts w:ascii="Times New Roman" w:eastAsia="方正仿宋_GBK" w:hAnsi="Times New Roman" w:cs="Times New Roman" w:hint="eastAsia"/>
          <w:color w:val="000000"/>
          <w:kern w:val="0"/>
          <w:sz w:val="32"/>
          <w:szCs w:val="32"/>
        </w:rPr>
        <w:t>。公司</w:t>
      </w:r>
      <w:r>
        <w:rPr>
          <w:rFonts w:ascii="Times New Roman" w:eastAsia="方正仿宋_GBK" w:hAnsi="Times New Roman" w:cs="Times New Roman"/>
          <w:color w:val="000000"/>
          <w:kern w:val="0"/>
          <w:sz w:val="32"/>
          <w:szCs w:val="32"/>
        </w:rPr>
        <w:t>依托中国科学技术大学，中科院脑功能与脑疾病重点实验室</w:t>
      </w:r>
      <w:r>
        <w:rPr>
          <w:rFonts w:ascii="Times New Roman" w:eastAsia="方正仿宋_GBK" w:hAnsi="Times New Roman" w:cs="Times New Roman" w:hint="eastAsia"/>
          <w:color w:val="000000"/>
          <w:kern w:val="0"/>
          <w:sz w:val="32"/>
          <w:szCs w:val="32"/>
        </w:rPr>
        <w:t>，</w:t>
      </w:r>
      <w:r>
        <w:rPr>
          <w:rFonts w:ascii="Times New Roman" w:eastAsia="方正仿宋_GBK" w:hAnsi="Times New Roman" w:cs="Times New Roman"/>
          <w:color w:val="000000"/>
          <w:kern w:val="0"/>
          <w:sz w:val="32"/>
          <w:szCs w:val="32"/>
        </w:rPr>
        <w:t>开展脑疾病（主要包括精神和神经障碍）无</w:t>
      </w:r>
      <w:r>
        <w:rPr>
          <w:rFonts w:ascii="Times New Roman" w:eastAsia="方正仿宋_GBK" w:hAnsi="Times New Roman" w:cs="Times New Roman"/>
          <w:color w:val="000000"/>
          <w:kern w:val="0"/>
          <w:sz w:val="32"/>
          <w:szCs w:val="32"/>
        </w:rPr>
        <w:t>创物理干预治疗技术研究</w:t>
      </w:r>
      <w:r>
        <w:rPr>
          <w:rFonts w:ascii="Times New Roman" w:eastAsia="方正仿宋_GBK" w:hAnsi="Times New Roman" w:cs="Times New Roman" w:hint="eastAsia"/>
          <w:color w:val="000000"/>
          <w:kern w:val="0"/>
          <w:sz w:val="32"/>
          <w:szCs w:val="32"/>
        </w:rPr>
        <w:t>。公司由中国科学技术大学认知神经实验室现任负责人，“长江青年学者”张效初教授领衔的研究团队进行研发，</w:t>
      </w:r>
      <w:r>
        <w:rPr>
          <w:rFonts w:ascii="Times New Roman" w:eastAsia="方正仿宋_GBK" w:hAnsi="Times New Roman" w:cs="Times New Roman"/>
          <w:color w:val="000000"/>
          <w:kern w:val="0"/>
          <w:sz w:val="32"/>
          <w:szCs w:val="32"/>
        </w:rPr>
        <w:t>开创性研发了一套独特的无创干预成</w:t>
      </w:r>
      <w:r>
        <w:rPr>
          <w:rFonts w:ascii="Times New Roman" w:eastAsia="方正仿宋_GBK" w:hAnsi="Times New Roman" w:cs="Times New Roman"/>
          <w:color w:val="000000"/>
          <w:kern w:val="0"/>
          <w:sz w:val="32"/>
          <w:szCs w:val="32"/>
        </w:rPr>
        <w:lastRenderedPageBreak/>
        <w:t>瘾系统</w:t>
      </w:r>
      <w:r>
        <w:rPr>
          <w:rFonts w:ascii="Times New Roman" w:eastAsia="方正仿宋_GBK" w:hAnsi="Times New Roman" w:cs="Times New Roman"/>
          <w:color w:val="000000"/>
          <w:kern w:val="0"/>
          <w:sz w:val="32"/>
          <w:szCs w:val="32"/>
        </w:rPr>
        <w:t>—NeuroSee(</w:t>
      </w:r>
      <w:r>
        <w:rPr>
          <w:rFonts w:ascii="Times New Roman" w:eastAsia="方正仿宋_GBK" w:hAnsi="Times New Roman" w:cs="Times New Roman"/>
          <w:color w:val="000000"/>
          <w:kern w:val="0"/>
          <w:sz w:val="32"/>
          <w:szCs w:val="32"/>
        </w:rPr>
        <w:t>神思</w:t>
      </w:r>
      <w:r>
        <w:rPr>
          <w:rFonts w:ascii="Times New Roman" w:eastAsia="方正仿宋_GBK" w:hAnsi="Times New Roman" w:cs="Times New Roman"/>
          <w:color w:val="000000"/>
          <w:kern w:val="0"/>
          <w:sz w:val="32"/>
          <w:szCs w:val="32"/>
        </w:rPr>
        <w:t>)</w:t>
      </w:r>
      <w:r>
        <w:rPr>
          <w:rFonts w:ascii="Times New Roman" w:eastAsia="方正仿宋_GBK" w:hAnsi="Times New Roman" w:cs="Times New Roman"/>
          <w:color w:val="000000"/>
          <w:kern w:val="0"/>
          <w:sz w:val="32"/>
          <w:szCs w:val="32"/>
        </w:rPr>
        <w:t>成瘾无创治疗仪，实现了成瘾干预的准确性、互动性、持续性、有效性，为受毒品、烟酒等药物成瘾疾病困扰的患者开辟了一条崭新无创治疗路径</w:t>
      </w:r>
      <w:r>
        <w:rPr>
          <w:rFonts w:ascii="Times New Roman" w:eastAsia="方正仿宋_GBK" w:hAnsi="Times New Roman" w:cs="Times New Roman" w:hint="eastAsia"/>
          <w:color w:val="000000"/>
          <w:kern w:val="0"/>
          <w:sz w:val="32"/>
          <w:szCs w:val="32"/>
        </w:rPr>
        <w:t>。</w:t>
      </w:r>
    </w:p>
    <w:p w:rsidR="00012319" w:rsidRDefault="002E008E">
      <w:pPr>
        <w:spacing w:line="600" w:lineRule="exact"/>
        <w:ind w:firstLineChars="200" w:firstLine="640"/>
        <w:rPr>
          <w:rFonts w:ascii="Times New Roman" w:eastAsia="方正仿宋_GBK" w:hAnsi="Times New Roman" w:cs="Times New Roman"/>
          <w:color w:val="000000"/>
          <w:kern w:val="0"/>
          <w:sz w:val="32"/>
          <w:szCs w:val="32"/>
        </w:rPr>
      </w:pPr>
      <w:r>
        <w:rPr>
          <w:rFonts w:ascii="方正黑体_GBK" w:eastAsia="方正黑体_GBK" w:hAnsi="方正黑体_GBK" w:cs="方正黑体_GBK" w:hint="eastAsia"/>
          <w:color w:val="000000"/>
          <w:kern w:val="0"/>
          <w:sz w:val="32"/>
          <w:szCs w:val="32"/>
        </w:rPr>
        <w:t>十五、植恩生物</w:t>
      </w:r>
      <w:r>
        <w:rPr>
          <w:rFonts w:ascii="方正黑体_GBK" w:eastAsia="方正黑体_GBK" w:hAnsi="方正黑体_GBK" w:cs="方正黑体_GBK"/>
          <w:color w:val="000000"/>
          <w:kern w:val="0"/>
          <w:sz w:val="32"/>
          <w:szCs w:val="32"/>
        </w:rPr>
        <w:t>技术</w:t>
      </w:r>
      <w:r>
        <w:rPr>
          <w:rFonts w:ascii="方正黑体_GBK" w:eastAsia="方正黑体_GBK" w:hAnsi="方正黑体_GBK" w:cs="方正黑体_GBK" w:hint="eastAsia"/>
          <w:color w:val="000000"/>
          <w:kern w:val="0"/>
          <w:sz w:val="32"/>
          <w:szCs w:val="32"/>
        </w:rPr>
        <w:t>股份</w:t>
      </w:r>
      <w:r>
        <w:rPr>
          <w:rFonts w:ascii="方正黑体_GBK" w:eastAsia="方正黑体_GBK" w:hAnsi="方正黑体_GBK" w:cs="方正黑体_GBK"/>
          <w:color w:val="000000"/>
          <w:kern w:val="0"/>
          <w:sz w:val="32"/>
          <w:szCs w:val="32"/>
        </w:rPr>
        <w:t>有限公司</w:t>
      </w:r>
    </w:p>
    <w:p w:rsidR="00012319" w:rsidRDefault="002E008E">
      <w:pPr>
        <w:spacing w:line="600" w:lineRule="exact"/>
        <w:ind w:firstLineChars="200" w:firstLine="640"/>
        <w:rPr>
          <w:rFonts w:ascii="Times New Roman" w:eastAsia="方正仿宋_GBK" w:hAnsi="Times New Roman" w:cs="Times New Roman"/>
          <w:sz w:val="24"/>
          <w:szCs w:val="24"/>
        </w:rPr>
      </w:pPr>
      <w:r>
        <w:rPr>
          <w:rFonts w:ascii="Times New Roman" w:eastAsia="方正仿宋_GBK" w:hAnsi="Times New Roman" w:cs="Times New Roman"/>
          <w:color w:val="000000"/>
          <w:kern w:val="0"/>
          <w:sz w:val="32"/>
          <w:szCs w:val="32"/>
        </w:rPr>
        <w:t>植恩生物</w:t>
      </w:r>
      <w:r>
        <w:rPr>
          <w:rFonts w:ascii="Times New Roman" w:eastAsia="方正仿宋_GBK" w:hAnsi="Times New Roman" w:cs="Times New Roman" w:hint="eastAsia"/>
          <w:color w:val="000000"/>
          <w:kern w:val="0"/>
          <w:sz w:val="32"/>
          <w:szCs w:val="32"/>
        </w:rPr>
        <w:t>技术股份有限公司</w:t>
      </w:r>
      <w:r>
        <w:rPr>
          <w:rFonts w:ascii="Times New Roman" w:eastAsia="方正仿宋_GBK" w:hAnsi="Times New Roman" w:cs="Times New Roman"/>
          <w:color w:val="000000"/>
          <w:kern w:val="0"/>
          <w:sz w:val="32"/>
          <w:szCs w:val="32"/>
        </w:rPr>
        <w:t>成立于</w:t>
      </w:r>
      <w:r>
        <w:rPr>
          <w:rFonts w:ascii="Times New Roman" w:eastAsia="方正仿宋_GBK" w:hAnsi="Times New Roman" w:cs="Times New Roman"/>
          <w:color w:val="000000"/>
          <w:kern w:val="0"/>
          <w:sz w:val="32"/>
          <w:szCs w:val="32"/>
        </w:rPr>
        <w:t>2001</w:t>
      </w:r>
      <w:r>
        <w:rPr>
          <w:rFonts w:ascii="Times New Roman" w:eastAsia="方正仿宋_GBK" w:hAnsi="Times New Roman" w:cs="Times New Roman"/>
          <w:color w:val="000000"/>
          <w:kern w:val="0"/>
          <w:sz w:val="32"/>
          <w:szCs w:val="32"/>
        </w:rPr>
        <w:t>年</w:t>
      </w:r>
      <w:r>
        <w:rPr>
          <w:rFonts w:ascii="Times New Roman" w:eastAsia="方正仿宋_GBK" w:hAnsi="Times New Roman" w:cs="Times New Roman"/>
          <w:color w:val="000000"/>
          <w:kern w:val="0"/>
          <w:sz w:val="32"/>
          <w:szCs w:val="32"/>
        </w:rPr>
        <w:t>4</w:t>
      </w:r>
      <w:r>
        <w:rPr>
          <w:rFonts w:ascii="Times New Roman" w:eastAsia="方正仿宋_GBK" w:hAnsi="Times New Roman" w:cs="Times New Roman"/>
          <w:color w:val="000000"/>
          <w:kern w:val="0"/>
          <w:sz w:val="32"/>
          <w:szCs w:val="32"/>
        </w:rPr>
        <w:t>月，是一家集医药研发、生产、销售和健康服务为一体的国家高新技术企业。公司专注于构建药品全生命周期管理服务体系，通过</w:t>
      </w:r>
      <w:r>
        <w:rPr>
          <w:rFonts w:ascii="Times New Roman" w:eastAsia="方正仿宋_GBK" w:hAnsi="Times New Roman" w:cs="Times New Roman"/>
          <w:color w:val="000000"/>
          <w:kern w:val="0"/>
          <w:sz w:val="32"/>
          <w:szCs w:val="32"/>
        </w:rPr>
        <w:t>“</w:t>
      </w:r>
      <w:r>
        <w:rPr>
          <w:rFonts w:ascii="Times New Roman" w:eastAsia="方正仿宋_GBK" w:hAnsi="Times New Roman" w:cs="Times New Roman"/>
          <w:color w:val="000000"/>
          <w:kern w:val="0"/>
          <w:sz w:val="32"/>
          <w:szCs w:val="32"/>
        </w:rPr>
        <w:t>平台</w:t>
      </w:r>
      <w:r>
        <w:rPr>
          <w:rFonts w:ascii="Times New Roman" w:eastAsia="方正仿宋_GBK" w:hAnsi="Times New Roman" w:cs="Times New Roman"/>
          <w:color w:val="000000"/>
          <w:kern w:val="0"/>
          <w:sz w:val="32"/>
          <w:szCs w:val="32"/>
        </w:rPr>
        <w:t>+</w:t>
      </w:r>
      <w:r>
        <w:rPr>
          <w:rFonts w:ascii="Times New Roman" w:eastAsia="方正仿宋_GBK" w:hAnsi="Times New Roman" w:cs="Times New Roman"/>
          <w:color w:val="000000"/>
          <w:kern w:val="0"/>
          <w:sz w:val="32"/>
          <w:szCs w:val="32"/>
        </w:rPr>
        <w:t>投资</w:t>
      </w:r>
      <w:r>
        <w:rPr>
          <w:rFonts w:ascii="Times New Roman" w:eastAsia="方正仿宋_GBK" w:hAnsi="Times New Roman" w:cs="Times New Roman"/>
          <w:color w:val="000000"/>
          <w:kern w:val="0"/>
          <w:sz w:val="32"/>
          <w:szCs w:val="32"/>
        </w:rPr>
        <w:t>”</w:t>
      </w:r>
      <w:r>
        <w:rPr>
          <w:rFonts w:ascii="Times New Roman" w:eastAsia="方正仿宋_GBK" w:hAnsi="Times New Roman" w:cs="Times New Roman"/>
          <w:color w:val="000000"/>
          <w:kern w:val="0"/>
          <w:sz w:val="32"/>
          <w:szCs w:val="32"/>
        </w:rPr>
        <w:t>的方式，构建生物医药产业集群。以</w:t>
      </w:r>
      <w:r>
        <w:rPr>
          <w:rFonts w:ascii="Times New Roman" w:eastAsia="方正仿宋_GBK" w:hAnsi="Times New Roman" w:cs="Times New Roman"/>
          <w:color w:val="000000"/>
          <w:kern w:val="0"/>
          <w:sz w:val="32"/>
          <w:szCs w:val="32"/>
        </w:rPr>
        <w:t>MAH</w:t>
      </w:r>
      <w:r>
        <w:rPr>
          <w:rFonts w:ascii="Times New Roman" w:eastAsia="方正仿宋_GBK" w:hAnsi="Times New Roman" w:cs="Times New Roman"/>
          <w:color w:val="000000"/>
          <w:kern w:val="0"/>
          <w:sz w:val="32"/>
          <w:szCs w:val="32"/>
        </w:rPr>
        <w:t>（上市许可持有人）为核心，对</w:t>
      </w:r>
      <w:r>
        <w:rPr>
          <w:rFonts w:ascii="Times New Roman" w:eastAsia="方正仿宋_GBK" w:hAnsi="Times New Roman" w:cs="Times New Roman"/>
          <w:color w:val="000000"/>
          <w:kern w:val="0"/>
          <w:sz w:val="32"/>
          <w:szCs w:val="32"/>
        </w:rPr>
        <w:t>MAH</w:t>
      </w:r>
      <w:r>
        <w:rPr>
          <w:rFonts w:ascii="Times New Roman" w:eastAsia="方正仿宋_GBK" w:hAnsi="Times New Roman" w:cs="Times New Roman"/>
          <w:color w:val="000000"/>
          <w:kern w:val="0"/>
          <w:sz w:val="32"/>
          <w:szCs w:val="32"/>
        </w:rPr>
        <w:t>提供</w:t>
      </w:r>
      <w:r>
        <w:rPr>
          <w:rFonts w:ascii="Times New Roman" w:eastAsia="方正仿宋_GBK" w:hAnsi="Times New Roman" w:cs="Times New Roman"/>
          <w:color w:val="000000"/>
          <w:kern w:val="0"/>
          <w:sz w:val="32"/>
          <w:szCs w:val="32"/>
        </w:rPr>
        <w:t>CDMO</w:t>
      </w:r>
      <w:r>
        <w:rPr>
          <w:rFonts w:ascii="Times New Roman" w:eastAsia="方正仿宋_GBK" w:hAnsi="Times New Roman" w:cs="Times New Roman"/>
          <w:color w:val="000000"/>
          <w:kern w:val="0"/>
          <w:sz w:val="32"/>
          <w:szCs w:val="32"/>
        </w:rPr>
        <w:t>、交易促进、药品上市后研究等全生命周期的服务。公司拳头产品奥利司他采用全合成工业技术，全球首次实现奥利司他原料药全合成工业生产。</w:t>
      </w:r>
      <w:r>
        <w:rPr>
          <w:rFonts w:ascii="Times New Roman" w:eastAsia="方正仿宋_GBK" w:hAnsi="Times New Roman" w:cs="Times New Roman" w:hint="eastAsia"/>
          <w:color w:val="000000"/>
          <w:kern w:val="0"/>
          <w:sz w:val="32"/>
          <w:szCs w:val="32"/>
        </w:rPr>
        <w:t>目前</w:t>
      </w:r>
      <w:r>
        <w:rPr>
          <w:rFonts w:ascii="Times New Roman" w:eastAsia="方正仿宋_GBK" w:hAnsi="Times New Roman" w:cs="Times New Roman"/>
          <w:color w:val="000000"/>
          <w:kern w:val="0"/>
          <w:sz w:val="32"/>
          <w:szCs w:val="32"/>
        </w:rPr>
        <w:t>，</w:t>
      </w:r>
      <w:r>
        <w:rPr>
          <w:rFonts w:ascii="Times New Roman" w:eastAsia="方正仿宋_GBK" w:hAnsi="Times New Roman" w:cs="Times New Roman" w:hint="eastAsia"/>
          <w:color w:val="000000"/>
          <w:kern w:val="0"/>
          <w:sz w:val="32"/>
          <w:szCs w:val="32"/>
        </w:rPr>
        <w:t>公司</w:t>
      </w:r>
      <w:r>
        <w:rPr>
          <w:rFonts w:ascii="Times New Roman" w:eastAsia="方正仿宋_GBK" w:hAnsi="Times New Roman" w:cs="Times New Roman"/>
          <w:color w:val="000000"/>
          <w:kern w:val="0"/>
          <w:sz w:val="32"/>
          <w:szCs w:val="32"/>
        </w:rPr>
        <w:t>建有</w:t>
      </w:r>
      <w:r>
        <w:rPr>
          <w:rFonts w:ascii="Times New Roman" w:eastAsia="方正仿宋_GBK" w:hAnsi="Times New Roman" w:cs="Times New Roman" w:hint="eastAsia"/>
          <w:color w:val="000000"/>
          <w:kern w:val="0"/>
          <w:sz w:val="32"/>
          <w:szCs w:val="32"/>
        </w:rPr>
        <w:t>1</w:t>
      </w:r>
      <w:r>
        <w:rPr>
          <w:rFonts w:ascii="Times New Roman" w:eastAsia="方正仿宋_GBK" w:hAnsi="Times New Roman" w:cs="Times New Roman" w:hint="eastAsia"/>
          <w:color w:val="000000"/>
          <w:kern w:val="0"/>
          <w:sz w:val="32"/>
          <w:szCs w:val="32"/>
        </w:rPr>
        <w:t>个</w:t>
      </w:r>
      <w:r>
        <w:rPr>
          <w:rFonts w:ascii="Times New Roman" w:eastAsia="方正仿宋_GBK" w:hAnsi="Times New Roman" w:cs="Times New Roman"/>
          <w:color w:val="000000"/>
          <w:kern w:val="0"/>
          <w:sz w:val="32"/>
          <w:szCs w:val="32"/>
        </w:rPr>
        <w:t>国家</w:t>
      </w:r>
      <w:r>
        <w:rPr>
          <w:rFonts w:ascii="Times New Roman" w:eastAsia="方正仿宋_GBK" w:hAnsi="Times New Roman" w:cs="Times New Roman" w:hint="eastAsia"/>
          <w:color w:val="000000"/>
          <w:kern w:val="0"/>
          <w:sz w:val="32"/>
          <w:szCs w:val="32"/>
        </w:rPr>
        <w:t>级</w:t>
      </w:r>
      <w:r>
        <w:rPr>
          <w:rFonts w:ascii="Times New Roman" w:eastAsia="方正仿宋_GBK" w:hAnsi="Times New Roman" w:cs="Times New Roman"/>
          <w:color w:val="000000"/>
          <w:kern w:val="0"/>
          <w:sz w:val="32"/>
          <w:szCs w:val="32"/>
        </w:rPr>
        <w:t>研究中心、</w:t>
      </w:r>
      <w:r>
        <w:rPr>
          <w:rFonts w:ascii="Times New Roman" w:eastAsia="方正仿宋_GBK" w:hAnsi="Times New Roman" w:cs="Times New Roman" w:hint="eastAsia"/>
          <w:color w:val="000000"/>
          <w:kern w:val="0"/>
          <w:sz w:val="32"/>
          <w:szCs w:val="32"/>
        </w:rPr>
        <w:t>5</w:t>
      </w:r>
      <w:r>
        <w:rPr>
          <w:rFonts w:ascii="Times New Roman" w:eastAsia="方正仿宋_GBK" w:hAnsi="Times New Roman" w:cs="Times New Roman" w:hint="eastAsia"/>
          <w:color w:val="000000"/>
          <w:kern w:val="0"/>
          <w:sz w:val="32"/>
          <w:szCs w:val="32"/>
        </w:rPr>
        <w:t>个市级研发平台，</w:t>
      </w:r>
      <w:r>
        <w:rPr>
          <w:rFonts w:ascii="Times New Roman" w:eastAsia="方正仿宋_GBK" w:hAnsi="Times New Roman" w:cs="Times New Roman"/>
          <w:color w:val="000000"/>
          <w:kern w:val="0"/>
          <w:sz w:val="32"/>
          <w:szCs w:val="32"/>
        </w:rPr>
        <w:t>累计申请国内外发明专利</w:t>
      </w:r>
      <w:r>
        <w:rPr>
          <w:rFonts w:ascii="Times New Roman" w:eastAsia="方正仿宋_GBK" w:hAnsi="Times New Roman" w:cs="Times New Roman"/>
          <w:color w:val="000000"/>
          <w:kern w:val="0"/>
          <w:sz w:val="32"/>
          <w:szCs w:val="32"/>
        </w:rPr>
        <w:t>70</w:t>
      </w:r>
      <w:r>
        <w:rPr>
          <w:rFonts w:ascii="Times New Roman" w:eastAsia="方正仿宋_GBK" w:hAnsi="Times New Roman" w:cs="Times New Roman"/>
          <w:color w:val="000000"/>
          <w:kern w:val="0"/>
          <w:sz w:val="32"/>
          <w:szCs w:val="32"/>
        </w:rPr>
        <w:t>项，核心专利技术获得国家技术发明二等奖</w:t>
      </w:r>
      <w:r>
        <w:rPr>
          <w:rFonts w:ascii="Times New Roman" w:eastAsia="方正仿宋_GBK" w:hAnsi="Times New Roman" w:cs="Times New Roman" w:hint="eastAsia"/>
          <w:color w:val="000000"/>
          <w:kern w:val="0"/>
          <w:sz w:val="32"/>
          <w:szCs w:val="32"/>
        </w:rPr>
        <w:t>。</w:t>
      </w:r>
    </w:p>
    <w:sectPr w:rsidR="00012319">
      <w:footerReference w:type="even" r:id="rId8"/>
      <w:footerReference w:type="default" r:id="rId9"/>
      <w:pgSz w:w="11906" w:h="16838"/>
      <w:pgMar w:top="2098" w:right="1531" w:bottom="1985" w:left="1531" w:header="851" w:footer="1531" w:gutter="0"/>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08E" w:rsidRDefault="002E008E">
      <w:r>
        <w:separator/>
      </w:r>
    </w:p>
  </w:endnote>
  <w:endnote w:type="continuationSeparator" w:id="0">
    <w:p w:rsidR="002E008E" w:rsidRDefault="002E0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319" w:rsidRDefault="002E008E">
    <w:pPr>
      <w:pStyle w:val="a5"/>
      <w:rPr>
        <w:rFonts w:ascii="方正仿宋_GBK" w:eastAsia="方正仿宋_GBK"/>
        <w:sz w:val="28"/>
        <w:szCs w:val="28"/>
      </w:rPr>
    </w:pPr>
    <w:r>
      <w:rPr>
        <w:rFonts w:ascii="方正仿宋_GBK" w:eastAsia="方正仿宋_GBK" w:hint="eastAsia"/>
        <w:sz w:val="28"/>
        <w:szCs w:val="28"/>
      </w:rPr>
      <w:t>—</w:t>
    </w:r>
    <w:sdt>
      <w:sdtPr>
        <w:rPr>
          <w:rFonts w:ascii="方正仿宋_GBK" w:eastAsia="方正仿宋_GBK" w:hint="eastAsia"/>
          <w:sz w:val="28"/>
          <w:szCs w:val="28"/>
        </w:rPr>
        <w:id w:val="7551393"/>
      </w:sdtPr>
      <w:sdtEndPr/>
      <w:sdtContent>
        <w:r>
          <w:rPr>
            <w:rFonts w:ascii="方正仿宋_GBK" w:eastAsia="方正仿宋_GBK" w:hint="eastAsia"/>
            <w:sz w:val="28"/>
            <w:szCs w:val="28"/>
          </w:rPr>
          <w:t xml:space="preserve"> </w:t>
        </w:r>
        <w:r>
          <w:rPr>
            <w:rFonts w:ascii="方正仿宋_GBK" w:eastAsia="方正仿宋_GBK" w:hint="eastAsia"/>
            <w:sz w:val="28"/>
            <w:szCs w:val="28"/>
          </w:rPr>
          <w:fldChar w:fldCharType="begin"/>
        </w:r>
        <w:r>
          <w:rPr>
            <w:rFonts w:ascii="方正仿宋_GBK" w:eastAsia="方正仿宋_GBK" w:hint="eastAsia"/>
            <w:sz w:val="28"/>
            <w:szCs w:val="28"/>
          </w:rPr>
          <w:instrText xml:space="preserve"> PAGE   \* MERGEFORMAT </w:instrText>
        </w:r>
        <w:r>
          <w:rPr>
            <w:rFonts w:ascii="方正仿宋_GBK" w:eastAsia="方正仿宋_GBK" w:hint="eastAsia"/>
            <w:sz w:val="28"/>
            <w:szCs w:val="28"/>
          </w:rPr>
          <w:fldChar w:fldCharType="separate"/>
        </w:r>
        <w:r w:rsidR="00DC3E0D" w:rsidRPr="00DC3E0D">
          <w:rPr>
            <w:rFonts w:ascii="方正仿宋_GBK" w:eastAsia="方正仿宋_GBK"/>
            <w:noProof/>
            <w:sz w:val="28"/>
            <w:szCs w:val="28"/>
            <w:lang w:val="zh-CN"/>
          </w:rPr>
          <w:t>2</w:t>
        </w:r>
        <w:r>
          <w:rPr>
            <w:rFonts w:ascii="方正仿宋_GBK" w:eastAsia="方正仿宋_GBK" w:hint="eastAsia"/>
            <w:sz w:val="28"/>
            <w:szCs w:val="28"/>
          </w:rPr>
          <w:fldChar w:fldCharType="end"/>
        </w:r>
        <w:r>
          <w:rPr>
            <w:rFonts w:ascii="方正仿宋_GBK" w:eastAsia="方正仿宋_GBK" w:hint="eastAsia"/>
            <w:sz w:val="28"/>
            <w:szCs w:val="28"/>
          </w:rPr>
          <w:t xml:space="preserve"> </w:t>
        </w:r>
        <w:r>
          <w:rPr>
            <w:rFonts w:ascii="方正仿宋_GBK" w:eastAsia="方正仿宋_GBK" w:hint="eastAsia"/>
            <w:sz w:val="28"/>
            <w:szCs w:val="28"/>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1385"/>
    </w:sdtPr>
    <w:sdtEndPr/>
    <w:sdtContent>
      <w:p w:rsidR="00012319" w:rsidRDefault="002E008E">
        <w:pPr>
          <w:pStyle w:val="a5"/>
          <w:jc w:val="right"/>
        </w:pPr>
        <w:r>
          <w:rPr>
            <w:rFonts w:ascii="方正仿宋_GBK" w:eastAsia="方正仿宋_GBK" w:hint="eastAsia"/>
            <w:sz w:val="28"/>
            <w:szCs w:val="28"/>
          </w:rPr>
          <w:t>—</w:t>
        </w:r>
        <w:r>
          <w:rPr>
            <w:rFonts w:ascii="方正仿宋_GBK" w:eastAsia="方正仿宋_GBK" w:hint="eastAsia"/>
            <w:sz w:val="28"/>
            <w:szCs w:val="28"/>
          </w:rPr>
          <w:t xml:space="preserve"> </w:t>
        </w:r>
        <w:r>
          <w:rPr>
            <w:rFonts w:ascii="方正仿宋_GBK" w:eastAsia="方正仿宋_GBK" w:hint="eastAsia"/>
            <w:sz w:val="28"/>
            <w:szCs w:val="28"/>
          </w:rPr>
          <w:fldChar w:fldCharType="begin"/>
        </w:r>
        <w:r>
          <w:rPr>
            <w:rFonts w:ascii="方正仿宋_GBK" w:eastAsia="方正仿宋_GBK" w:hint="eastAsia"/>
            <w:sz w:val="28"/>
            <w:szCs w:val="28"/>
          </w:rPr>
          <w:instrText xml:space="preserve"> PAGE   \* MERGEFORMAT </w:instrText>
        </w:r>
        <w:r>
          <w:rPr>
            <w:rFonts w:ascii="方正仿宋_GBK" w:eastAsia="方正仿宋_GBK" w:hint="eastAsia"/>
            <w:sz w:val="28"/>
            <w:szCs w:val="28"/>
          </w:rPr>
          <w:fldChar w:fldCharType="separate"/>
        </w:r>
        <w:r w:rsidR="00DC3E0D" w:rsidRPr="00DC3E0D">
          <w:rPr>
            <w:rFonts w:ascii="方正仿宋_GBK" w:eastAsia="方正仿宋_GBK"/>
            <w:noProof/>
            <w:sz w:val="28"/>
            <w:szCs w:val="28"/>
            <w:lang w:val="zh-CN"/>
          </w:rPr>
          <w:t>1</w:t>
        </w:r>
        <w:r>
          <w:rPr>
            <w:rFonts w:ascii="方正仿宋_GBK" w:eastAsia="方正仿宋_GBK" w:hint="eastAsia"/>
            <w:sz w:val="28"/>
            <w:szCs w:val="28"/>
          </w:rPr>
          <w:fldChar w:fldCharType="end"/>
        </w:r>
        <w:r>
          <w:rPr>
            <w:rFonts w:ascii="方正仿宋_GBK" w:eastAsia="方正仿宋_GBK" w:hint="eastAsia"/>
            <w:sz w:val="28"/>
            <w:szCs w:val="28"/>
          </w:rPr>
          <w:t xml:space="preserve"> </w:t>
        </w:r>
        <w:r>
          <w:rPr>
            <w:rFonts w:ascii="方正仿宋_GBK" w:eastAsia="方正仿宋_GBK" w:hint="eastAsia"/>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08E" w:rsidRDefault="002E008E">
      <w:r>
        <w:separator/>
      </w:r>
    </w:p>
  </w:footnote>
  <w:footnote w:type="continuationSeparator" w:id="0">
    <w:p w:rsidR="002E008E" w:rsidRDefault="002E00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evenAndOddHeaders/>
  <w:drawingGridHorizontalSpacing w:val="105"/>
  <w:drawingGridVerticalSpacing w:val="319"/>
  <w:displayHorizont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5A5"/>
    <w:rsid w:val="00001434"/>
    <w:rsid w:val="0000625D"/>
    <w:rsid w:val="0001213D"/>
    <w:rsid w:val="00012319"/>
    <w:rsid w:val="00042E77"/>
    <w:rsid w:val="00054C18"/>
    <w:rsid w:val="0005503E"/>
    <w:rsid w:val="00055A76"/>
    <w:rsid w:val="00075589"/>
    <w:rsid w:val="00095863"/>
    <w:rsid w:val="000B3F90"/>
    <w:rsid w:val="000C66F4"/>
    <w:rsid w:val="000D4DB1"/>
    <w:rsid w:val="000F34A0"/>
    <w:rsid w:val="00123E4F"/>
    <w:rsid w:val="001348AD"/>
    <w:rsid w:val="0015432C"/>
    <w:rsid w:val="0015449B"/>
    <w:rsid w:val="001965DA"/>
    <w:rsid w:val="001973D2"/>
    <w:rsid w:val="001C39DA"/>
    <w:rsid w:val="001D4A38"/>
    <w:rsid w:val="001D797D"/>
    <w:rsid w:val="001E14CF"/>
    <w:rsid w:val="001E2271"/>
    <w:rsid w:val="001F2707"/>
    <w:rsid w:val="0020250A"/>
    <w:rsid w:val="00213456"/>
    <w:rsid w:val="002329CB"/>
    <w:rsid w:val="00234F7D"/>
    <w:rsid w:val="0024551A"/>
    <w:rsid w:val="00246F7F"/>
    <w:rsid w:val="00277261"/>
    <w:rsid w:val="002862CE"/>
    <w:rsid w:val="002C088B"/>
    <w:rsid w:val="002D47B1"/>
    <w:rsid w:val="002E008E"/>
    <w:rsid w:val="002E3DA5"/>
    <w:rsid w:val="002E572A"/>
    <w:rsid w:val="003036A2"/>
    <w:rsid w:val="00333B9B"/>
    <w:rsid w:val="00357DCF"/>
    <w:rsid w:val="003A605E"/>
    <w:rsid w:val="003C7E3C"/>
    <w:rsid w:val="003D5589"/>
    <w:rsid w:val="003D6DF5"/>
    <w:rsid w:val="00417175"/>
    <w:rsid w:val="00422EE3"/>
    <w:rsid w:val="00460F5A"/>
    <w:rsid w:val="004700C9"/>
    <w:rsid w:val="004915EF"/>
    <w:rsid w:val="00491FED"/>
    <w:rsid w:val="00495D89"/>
    <w:rsid w:val="004A153A"/>
    <w:rsid w:val="004A2416"/>
    <w:rsid w:val="004B2882"/>
    <w:rsid w:val="004B2ECD"/>
    <w:rsid w:val="004B4804"/>
    <w:rsid w:val="004C36DB"/>
    <w:rsid w:val="004D44EE"/>
    <w:rsid w:val="004E0ABE"/>
    <w:rsid w:val="00503F62"/>
    <w:rsid w:val="0053186D"/>
    <w:rsid w:val="00543B8C"/>
    <w:rsid w:val="00550336"/>
    <w:rsid w:val="00571190"/>
    <w:rsid w:val="005719FA"/>
    <w:rsid w:val="0059092D"/>
    <w:rsid w:val="005A28EC"/>
    <w:rsid w:val="005A4708"/>
    <w:rsid w:val="005A7FE8"/>
    <w:rsid w:val="005C20C3"/>
    <w:rsid w:val="005C7BD2"/>
    <w:rsid w:val="005D1C7E"/>
    <w:rsid w:val="005D2D02"/>
    <w:rsid w:val="005E339F"/>
    <w:rsid w:val="005F1978"/>
    <w:rsid w:val="005F4649"/>
    <w:rsid w:val="005F502E"/>
    <w:rsid w:val="00604A8E"/>
    <w:rsid w:val="00605592"/>
    <w:rsid w:val="00613DE6"/>
    <w:rsid w:val="00637146"/>
    <w:rsid w:val="00643E7A"/>
    <w:rsid w:val="006445DB"/>
    <w:rsid w:val="006461F8"/>
    <w:rsid w:val="0065144C"/>
    <w:rsid w:val="006616F2"/>
    <w:rsid w:val="006627B5"/>
    <w:rsid w:val="006652E4"/>
    <w:rsid w:val="0067322A"/>
    <w:rsid w:val="006C35FD"/>
    <w:rsid w:val="006D39C3"/>
    <w:rsid w:val="006E557D"/>
    <w:rsid w:val="00703531"/>
    <w:rsid w:val="00725CAA"/>
    <w:rsid w:val="007549DC"/>
    <w:rsid w:val="00777109"/>
    <w:rsid w:val="00787CCE"/>
    <w:rsid w:val="00794F6C"/>
    <w:rsid w:val="007A1823"/>
    <w:rsid w:val="007B6EC0"/>
    <w:rsid w:val="007C54C8"/>
    <w:rsid w:val="007C644F"/>
    <w:rsid w:val="007D3AC4"/>
    <w:rsid w:val="007F3C04"/>
    <w:rsid w:val="0080042E"/>
    <w:rsid w:val="00806187"/>
    <w:rsid w:val="008155CE"/>
    <w:rsid w:val="00821AA3"/>
    <w:rsid w:val="00833396"/>
    <w:rsid w:val="0085768A"/>
    <w:rsid w:val="00876587"/>
    <w:rsid w:val="008836DF"/>
    <w:rsid w:val="0088699F"/>
    <w:rsid w:val="00896EC1"/>
    <w:rsid w:val="008A1AB6"/>
    <w:rsid w:val="008B0526"/>
    <w:rsid w:val="008C7F2F"/>
    <w:rsid w:val="008E63B4"/>
    <w:rsid w:val="008F050B"/>
    <w:rsid w:val="009041F0"/>
    <w:rsid w:val="00922A33"/>
    <w:rsid w:val="00955A06"/>
    <w:rsid w:val="00966E75"/>
    <w:rsid w:val="00986DF2"/>
    <w:rsid w:val="00987E06"/>
    <w:rsid w:val="009B5578"/>
    <w:rsid w:val="009C1292"/>
    <w:rsid w:val="009D0BD8"/>
    <w:rsid w:val="009D4F3C"/>
    <w:rsid w:val="009F6A0A"/>
    <w:rsid w:val="00A033DE"/>
    <w:rsid w:val="00A07B52"/>
    <w:rsid w:val="00A12222"/>
    <w:rsid w:val="00A53D4E"/>
    <w:rsid w:val="00A71686"/>
    <w:rsid w:val="00A732D0"/>
    <w:rsid w:val="00A8351B"/>
    <w:rsid w:val="00A95B63"/>
    <w:rsid w:val="00AB0F91"/>
    <w:rsid w:val="00AB2C78"/>
    <w:rsid w:val="00AC10E3"/>
    <w:rsid w:val="00AC4196"/>
    <w:rsid w:val="00AF4602"/>
    <w:rsid w:val="00B2100C"/>
    <w:rsid w:val="00B248C0"/>
    <w:rsid w:val="00B332F4"/>
    <w:rsid w:val="00B35E53"/>
    <w:rsid w:val="00B41477"/>
    <w:rsid w:val="00B45CE9"/>
    <w:rsid w:val="00B50DA8"/>
    <w:rsid w:val="00B52B39"/>
    <w:rsid w:val="00B70311"/>
    <w:rsid w:val="00B8243E"/>
    <w:rsid w:val="00B82CFE"/>
    <w:rsid w:val="00B94369"/>
    <w:rsid w:val="00BB11C8"/>
    <w:rsid w:val="00BB6F7A"/>
    <w:rsid w:val="00BF2672"/>
    <w:rsid w:val="00BF5E9B"/>
    <w:rsid w:val="00C23DFC"/>
    <w:rsid w:val="00C34FE4"/>
    <w:rsid w:val="00C40ED4"/>
    <w:rsid w:val="00C42BF3"/>
    <w:rsid w:val="00C612FD"/>
    <w:rsid w:val="00C76294"/>
    <w:rsid w:val="00C805AF"/>
    <w:rsid w:val="00C912F2"/>
    <w:rsid w:val="00CA018A"/>
    <w:rsid w:val="00CD264E"/>
    <w:rsid w:val="00D040D6"/>
    <w:rsid w:val="00D20715"/>
    <w:rsid w:val="00D25405"/>
    <w:rsid w:val="00D43B71"/>
    <w:rsid w:val="00D90740"/>
    <w:rsid w:val="00DA1CB3"/>
    <w:rsid w:val="00DA6340"/>
    <w:rsid w:val="00DA65A5"/>
    <w:rsid w:val="00DB658E"/>
    <w:rsid w:val="00DC1B71"/>
    <w:rsid w:val="00DC3E0D"/>
    <w:rsid w:val="00E045BB"/>
    <w:rsid w:val="00E11342"/>
    <w:rsid w:val="00E40670"/>
    <w:rsid w:val="00E438E3"/>
    <w:rsid w:val="00E44FE0"/>
    <w:rsid w:val="00E77CC1"/>
    <w:rsid w:val="00E8008F"/>
    <w:rsid w:val="00EA0E7D"/>
    <w:rsid w:val="00EB62DF"/>
    <w:rsid w:val="00EC4E32"/>
    <w:rsid w:val="00ED0855"/>
    <w:rsid w:val="00ED15F8"/>
    <w:rsid w:val="00EE077A"/>
    <w:rsid w:val="00EF26B7"/>
    <w:rsid w:val="00F32D2F"/>
    <w:rsid w:val="00F81A46"/>
    <w:rsid w:val="00F83681"/>
    <w:rsid w:val="00FA3848"/>
    <w:rsid w:val="00FB6480"/>
    <w:rsid w:val="00FD614C"/>
    <w:rsid w:val="00FE3B09"/>
    <w:rsid w:val="015376ED"/>
    <w:rsid w:val="0841144D"/>
    <w:rsid w:val="091F08D3"/>
    <w:rsid w:val="09963DFC"/>
    <w:rsid w:val="09B41767"/>
    <w:rsid w:val="09FB55B8"/>
    <w:rsid w:val="0A05340C"/>
    <w:rsid w:val="0A871046"/>
    <w:rsid w:val="0DE12D82"/>
    <w:rsid w:val="10E574A7"/>
    <w:rsid w:val="12161248"/>
    <w:rsid w:val="14496F20"/>
    <w:rsid w:val="14BF5434"/>
    <w:rsid w:val="14F1386F"/>
    <w:rsid w:val="1C702815"/>
    <w:rsid w:val="221768AF"/>
    <w:rsid w:val="222F22DB"/>
    <w:rsid w:val="268B161A"/>
    <w:rsid w:val="2AFF4867"/>
    <w:rsid w:val="2B6366AD"/>
    <w:rsid w:val="2CD657B7"/>
    <w:rsid w:val="30AE0EB8"/>
    <w:rsid w:val="30CB1972"/>
    <w:rsid w:val="39FD1289"/>
    <w:rsid w:val="441E370E"/>
    <w:rsid w:val="46790A87"/>
    <w:rsid w:val="476D7938"/>
    <w:rsid w:val="491A3933"/>
    <w:rsid w:val="4C2945B1"/>
    <w:rsid w:val="4F2D225D"/>
    <w:rsid w:val="55A05AF2"/>
    <w:rsid w:val="5A7D7405"/>
    <w:rsid w:val="5D3B7F27"/>
    <w:rsid w:val="62B47CCE"/>
    <w:rsid w:val="65DC2B58"/>
    <w:rsid w:val="723D702D"/>
    <w:rsid w:val="727C3957"/>
    <w:rsid w:val="734B14EC"/>
    <w:rsid w:val="7A87037D"/>
    <w:rsid w:val="7BA14A38"/>
    <w:rsid w:val="7C8F1F7D"/>
    <w:rsid w:val="7FD73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7DBFE"/>
  <w15:docId w15:val="{F3EA8EF2-E6C8-4695-A09A-8379377F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qFormat/>
  </w:style>
  <w:style w:type="character" w:styleId="ac">
    <w:name w:val="Emphasis"/>
    <w:basedOn w:val="a0"/>
    <w:uiPriority w:val="20"/>
    <w:qFormat/>
    <w:rPr>
      <w:i/>
      <w:iCs/>
    </w:rPr>
  </w:style>
  <w:style w:type="character" w:styleId="ad">
    <w:name w:val="Hyperlink"/>
    <w:basedOn w:val="a0"/>
    <w:uiPriority w:val="99"/>
    <w:unhideWhenUsed/>
    <w:qFormat/>
    <w:rPr>
      <w:color w:val="0000FF" w:themeColor="hyperlink"/>
      <w:u w:val="single"/>
    </w:rPr>
  </w:style>
  <w:style w:type="character" w:customStyle="1" w:styleId="a8">
    <w:name w:val="页眉 字符"/>
    <w:basedOn w:val="a0"/>
    <w:link w:val="a7"/>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rFonts w:asciiTheme="minorHAnsi" w:eastAsiaTheme="minorEastAsia" w:hAnsiTheme="minorHAnsi" w:cstheme="minorBidi"/>
      <w:kern w:val="2"/>
      <w:sz w:val="18"/>
      <w:szCs w:val="18"/>
    </w:rPr>
  </w:style>
  <w:style w:type="paragraph" w:styleId="ae">
    <w:name w:val="List Paragraph"/>
    <w:basedOn w:val="a"/>
    <w:uiPriority w:val="99"/>
    <w:qFormat/>
    <w:pPr>
      <w:ind w:firstLineChars="200" w:firstLine="420"/>
    </w:pPr>
  </w:style>
  <w:style w:type="paragraph" w:customStyle="1" w:styleId="one-p1">
    <w:name w:val="one-p1"/>
    <w:basedOn w:val="a"/>
    <w:qFormat/>
    <w:pPr>
      <w:widowControl/>
      <w:spacing w:before="100" w:beforeAutospacing="1" w:after="480" w:line="480" w:lineRule="auto"/>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066833-AB4F-4D1C-AB76-86F8DDAC3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598</Words>
  <Characters>3414</Characters>
  <Application>Microsoft Office Word</Application>
  <DocSecurity>0</DocSecurity>
  <Lines>28</Lines>
  <Paragraphs>8</Paragraphs>
  <ScaleCrop>false</ScaleCrop>
  <Company>Microsoft</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CQ</dc:creator>
  <cp:lastModifiedBy>PC</cp:lastModifiedBy>
  <cp:revision>2</cp:revision>
  <cp:lastPrinted>2022-03-17T07:56:00Z</cp:lastPrinted>
  <dcterms:created xsi:type="dcterms:W3CDTF">2022-03-23T07:29:00Z</dcterms:created>
  <dcterms:modified xsi:type="dcterms:W3CDTF">2022-03-23T07:29:00Z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5E4D563BBC24464B9739F24F9B450787</vt:lpwstr>
  </property>
</Properties>
</file>