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附件：</w:t>
      </w:r>
    </w:p>
    <w:tbl>
      <w:tblPr>
        <w:tblStyle w:val="2"/>
        <w:tblW w:w="1425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762"/>
        <w:gridCol w:w="873"/>
        <w:gridCol w:w="845"/>
        <w:gridCol w:w="2782"/>
        <w:gridCol w:w="927"/>
        <w:gridCol w:w="1159"/>
        <w:gridCol w:w="1214"/>
        <w:gridCol w:w="3082"/>
        <w:gridCol w:w="14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25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公益性岗位招聘条件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工作方向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11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综合服务岗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应急办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应急处置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协助做好本辖区安全监管等相关工作。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全日制大学专科及以上学历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工学类、管理学类、法律类。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11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民社办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社会事务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协助做好本辖区疫情防控等相关工作。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全日制大学专科及以上学历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11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社区综合事务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协助做好社区基层治理、疫情防控等相关工作。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全日制大学专科及以上学历</w:t>
            </w:r>
          </w:p>
        </w:tc>
        <w:tc>
          <w:tcPr>
            <w:tcW w:w="3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</w:tbl>
    <w:p>
      <w:pPr>
        <w:jc w:val="both"/>
        <w:rPr>
          <w:rFonts w:hint="eastAsia" w:ascii="方正小标宋_GBK" w:hAnsi="方正小标宋_GBK" w:eastAsia="方正小标宋_GBK" w:cs="方正小标宋_GBK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21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2022-05-27T06:19:45Z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