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412" w:type="dxa"/>
        <w:shd w:val="clear" w:color="auto" w:fill="FFFFFF"/>
        <w:tblCellMar>
          <w:left w:w="0" w:type="dxa"/>
          <w:right w:w="0" w:type="dxa"/>
        </w:tblCellMar>
        <w:tblLook w:val="04A0"/>
      </w:tblPr>
      <w:tblGrid>
        <w:gridCol w:w="925"/>
        <w:gridCol w:w="505"/>
        <w:gridCol w:w="4963"/>
        <w:gridCol w:w="2019"/>
      </w:tblGrid>
      <w:tr w:rsidR="007F3D1D" w:rsidRPr="007F3D1D" w:rsidTr="007F3D1D">
        <w:trPr>
          <w:trHeight w:val="566"/>
        </w:trPr>
        <w:tc>
          <w:tcPr>
            <w:tcW w:w="850" w:type="pct"/>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楷体_gbk" w:eastAsia="方正楷体_gbk" w:hAnsi="微软雅黑" w:cs="宋体" w:hint="eastAsia"/>
                <w:b/>
                <w:bCs/>
                <w:color w:val="333333"/>
                <w:kern w:val="0"/>
                <w:sz w:val="24"/>
                <w:szCs w:val="24"/>
              </w:rPr>
              <w:t>人才类别</w:t>
            </w:r>
          </w:p>
        </w:tc>
        <w:tc>
          <w:tcPr>
            <w:tcW w:w="29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楷体_gbk" w:eastAsia="方正楷体_gbk" w:hAnsi="微软雅黑" w:cs="宋体" w:hint="eastAsia"/>
                <w:b/>
                <w:bCs/>
                <w:color w:val="333333"/>
                <w:kern w:val="0"/>
                <w:sz w:val="24"/>
                <w:szCs w:val="24"/>
              </w:rPr>
              <w:t>业绩条件</w:t>
            </w:r>
          </w:p>
        </w:tc>
        <w:tc>
          <w:tcPr>
            <w:tcW w:w="1104" w:type="dxa"/>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center"/>
              <w:rPr>
                <w:rFonts w:ascii="微软雅黑" w:eastAsia="微软雅黑" w:hAnsi="微软雅黑" w:cs="宋体"/>
                <w:color w:val="333333"/>
                <w:kern w:val="0"/>
                <w:sz w:val="24"/>
                <w:szCs w:val="24"/>
              </w:rPr>
            </w:pPr>
            <w:r w:rsidRPr="007F3D1D">
              <w:rPr>
                <w:rFonts w:ascii="方正楷体_gbk" w:eastAsia="方正楷体_gbk" w:hAnsi="微软雅黑" w:cs="宋体" w:hint="eastAsia"/>
                <w:b/>
                <w:bCs/>
                <w:color w:val="333333"/>
                <w:kern w:val="0"/>
                <w:sz w:val="24"/>
                <w:szCs w:val="24"/>
              </w:rPr>
              <w:t>引进待遇</w:t>
            </w:r>
          </w:p>
        </w:tc>
      </w:tr>
      <w:tr w:rsidR="007F3D1D" w:rsidRPr="007F3D1D" w:rsidTr="007F3D1D">
        <w:trPr>
          <w:trHeight w:val="4029"/>
        </w:trPr>
        <w:tc>
          <w:tcPr>
            <w:tcW w:w="850" w:type="pct"/>
            <w:gridSpan w:val="2"/>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Ⅰ类人才</w:t>
            </w:r>
          </w:p>
        </w:tc>
        <w:tc>
          <w:tcPr>
            <w:tcW w:w="295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研究方向符合学校引才需求，攻读博士以来取得的学术成果至少满足以下条件之一：</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）主持我校认定的A</w:t>
            </w: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级及以上项目</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项。</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）人文社会科学学科以第一作者（含导师排名第一、博士排名第二）发表我校认定的A</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篇，或B级论文</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篇，或C</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级论文</w:t>
            </w:r>
            <w:r w:rsidRPr="007F3D1D">
              <w:rPr>
                <w:rFonts w:ascii="Times New Roman" w:eastAsia="微软雅黑" w:hAnsi="Times New Roman" w:cs="Times New Roman"/>
                <w:color w:val="333333"/>
                <w:kern w:val="0"/>
                <w:sz w:val="24"/>
                <w:szCs w:val="24"/>
              </w:rPr>
              <w:t>4</w:t>
            </w:r>
            <w:r w:rsidRPr="007F3D1D">
              <w:rPr>
                <w:rFonts w:ascii="方正仿宋_gbk" w:eastAsia="方正仿宋_gbk" w:hAnsi="微软雅黑" w:cs="宋体" w:hint="eastAsia"/>
                <w:color w:val="333333"/>
                <w:kern w:val="0"/>
                <w:sz w:val="24"/>
                <w:szCs w:val="24"/>
              </w:rPr>
              <w:t>篇；自然科学学科以第一作者（含导师第一、博士第二）发表我校认定的B</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5</w:t>
            </w:r>
            <w:r w:rsidRPr="007F3D1D">
              <w:rPr>
                <w:rFonts w:ascii="方正仿宋_gbk" w:eastAsia="方正仿宋_gbk" w:hAnsi="微软雅黑" w:cs="宋体" w:hint="eastAsia"/>
                <w:color w:val="333333"/>
                <w:kern w:val="0"/>
                <w:sz w:val="24"/>
                <w:szCs w:val="24"/>
              </w:rPr>
              <w:t>篇，其中A</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篇，或A</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篇、A</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级论文</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篇。</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）艺体类、外语类以第一作者（含导师排名第一、博士排名第二）发表我校认定的B级及以上论文</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篇，或C</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级论文</w:t>
            </w: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篇。</w:t>
            </w:r>
          </w:p>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4</w:t>
            </w:r>
            <w:r w:rsidRPr="007F3D1D">
              <w:rPr>
                <w:rFonts w:ascii="方正仿宋_gbk" w:eastAsia="方正仿宋_gbk" w:hAnsi="微软雅黑" w:cs="宋体" w:hint="eastAsia"/>
                <w:color w:val="333333"/>
                <w:kern w:val="0"/>
                <w:sz w:val="24"/>
                <w:szCs w:val="24"/>
              </w:rPr>
              <w:t>）经学校认定获得以上相当水平的其他学术成果。</w:t>
            </w:r>
          </w:p>
        </w:tc>
        <w:tc>
          <w:tcPr>
            <w:tcW w:w="1104" w:type="dxa"/>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安家费：</w:t>
            </w:r>
            <w:r w:rsidRPr="007F3D1D">
              <w:rPr>
                <w:rFonts w:ascii="Times New Roman" w:eastAsia="微软雅黑" w:hAnsi="Times New Roman" w:cs="Times New Roman"/>
                <w:color w:val="333333"/>
                <w:kern w:val="0"/>
                <w:sz w:val="24"/>
                <w:szCs w:val="24"/>
              </w:rPr>
              <w:t>80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科研启动费：人文社科（含艺体类、外语类）</w:t>
            </w:r>
            <w:r w:rsidRPr="007F3D1D">
              <w:rPr>
                <w:rFonts w:ascii="Times New Roman" w:eastAsia="微软雅黑" w:hAnsi="Times New Roman" w:cs="Times New Roman"/>
                <w:color w:val="333333"/>
                <w:kern w:val="0"/>
                <w:sz w:val="24"/>
                <w:szCs w:val="24"/>
              </w:rPr>
              <w:t>20</w:t>
            </w:r>
            <w:r w:rsidRPr="007F3D1D">
              <w:rPr>
                <w:rFonts w:ascii="方正仿宋_gbk" w:eastAsia="方正仿宋_gbk" w:hAnsi="微软雅黑" w:cs="宋体" w:hint="eastAsia"/>
                <w:color w:val="333333"/>
                <w:kern w:val="0"/>
                <w:sz w:val="24"/>
                <w:szCs w:val="24"/>
              </w:rPr>
              <w:t>万元，自然科学</w:t>
            </w:r>
            <w:r w:rsidRPr="007F3D1D">
              <w:rPr>
                <w:rFonts w:ascii="Times New Roman" w:eastAsia="微软雅黑" w:hAnsi="Times New Roman" w:cs="Times New Roman"/>
                <w:color w:val="333333"/>
                <w:kern w:val="0"/>
                <w:sz w:val="24"/>
                <w:szCs w:val="24"/>
              </w:rPr>
              <w:t>25</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tc>
      </w:tr>
      <w:tr w:rsidR="007F3D1D" w:rsidRPr="007F3D1D" w:rsidTr="007F3D1D">
        <w:trPr>
          <w:trHeight w:val="3343"/>
        </w:trPr>
        <w:tc>
          <w:tcPr>
            <w:tcW w:w="850" w:type="pct"/>
            <w:gridSpan w:val="2"/>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Ⅱ类人才</w:t>
            </w:r>
          </w:p>
        </w:tc>
        <w:tc>
          <w:tcPr>
            <w:tcW w:w="295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研究方向符合学校引才需求，攻读博士以来取得的学术成果至少满足以下条件之一：</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）人文社会科学学科以第一作者（含导师排名第一、博士排名第二）发表我校认定的B级及以上论文</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篇，或C</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级论文</w:t>
            </w: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篇；自然科学学科以第一作者（含导师第一、博士第二）发表我校认定的B</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4</w:t>
            </w:r>
            <w:r w:rsidRPr="007F3D1D">
              <w:rPr>
                <w:rFonts w:ascii="方正仿宋_gbk" w:eastAsia="方正仿宋_gbk" w:hAnsi="微软雅黑" w:cs="宋体" w:hint="eastAsia"/>
                <w:color w:val="333333"/>
                <w:kern w:val="0"/>
                <w:sz w:val="24"/>
                <w:szCs w:val="24"/>
              </w:rPr>
              <w:t>篇，其中A</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篇，或A</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级论文</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篇。</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）艺体类、外语类以第一作者（含导师排名第一、博士排名第二）发表我校认定的C</w:t>
            </w: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级及以上论文</w:t>
            </w: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篇。</w:t>
            </w:r>
          </w:p>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）经学校认定获得以上相当水平的其他学术成果。</w:t>
            </w:r>
          </w:p>
        </w:tc>
        <w:tc>
          <w:tcPr>
            <w:tcW w:w="1104" w:type="dxa"/>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安家费：</w:t>
            </w:r>
            <w:r w:rsidRPr="007F3D1D">
              <w:rPr>
                <w:rFonts w:ascii="Times New Roman" w:eastAsia="微软雅黑" w:hAnsi="Times New Roman" w:cs="Times New Roman"/>
                <w:color w:val="333333"/>
                <w:kern w:val="0"/>
                <w:sz w:val="24"/>
                <w:szCs w:val="24"/>
              </w:rPr>
              <w:t>60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科研启动费：人文社科（含艺体类、外语类）</w:t>
            </w:r>
            <w:r w:rsidRPr="007F3D1D">
              <w:rPr>
                <w:rFonts w:ascii="Times New Roman" w:eastAsia="微软雅黑" w:hAnsi="Times New Roman" w:cs="Times New Roman"/>
                <w:color w:val="333333"/>
                <w:kern w:val="0"/>
                <w:sz w:val="24"/>
                <w:szCs w:val="24"/>
              </w:rPr>
              <w:t>15</w:t>
            </w:r>
            <w:r w:rsidRPr="007F3D1D">
              <w:rPr>
                <w:rFonts w:ascii="方正仿宋_gbk" w:eastAsia="方正仿宋_gbk" w:hAnsi="微软雅黑" w:cs="宋体" w:hint="eastAsia"/>
                <w:color w:val="333333"/>
                <w:kern w:val="0"/>
                <w:sz w:val="24"/>
                <w:szCs w:val="24"/>
              </w:rPr>
              <w:t>万元，自然科学</w:t>
            </w:r>
            <w:r w:rsidRPr="007F3D1D">
              <w:rPr>
                <w:rFonts w:ascii="Times New Roman" w:eastAsia="微软雅黑" w:hAnsi="Times New Roman" w:cs="Times New Roman"/>
                <w:color w:val="333333"/>
                <w:kern w:val="0"/>
                <w:sz w:val="24"/>
                <w:szCs w:val="24"/>
              </w:rPr>
              <w:t>20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tc>
      </w:tr>
      <w:tr w:rsidR="007F3D1D" w:rsidRPr="007F3D1D" w:rsidTr="007F3D1D">
        <w:trPr>
          <w:trHeight w:val="1817"/>
        </w:trPr>
        <w:tc>
          <w:tcPr>
            <w:tcW w:w="550" w:type="pct"/>
            <w:vMerge w:val="restar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Ⅲ类人才</w:t>
            </w:r>
          </w:p>
        </w:tc>
        <w:tc>
          <w:tcPr>
            <w:tcW w:w="30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A类</w:t>
            </w:r>
          </w:p>
        </w:tc>
        <w:tc>
          <w:tcPr>
            <w:tcW w:w="295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研究方向符合学校引才需求，应聘到教学科研一线教师岗位，具有博士学位，工作认真、严谨，具有高度的责任心和良好的团队合作精神，具备良好的学术背景和冲击国家自科基金、国家社科基金项目的潜力。</w:t>
            </w:r>
          </w:p>
        </w:tc>
        <w:tc>
          <w:tcPr>
            <w:tcW w:w="1104" w:type="dxa"/>
            <w:tcBorders>
              <w:top w:val="single" w:sz="6" w:space="0" w:color="000000"/>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安家费：</w:t>
            </w:r>
            <w:r w:rsidRPr="007F3D1D">
              <w:rPr>
                <w:rFonts w:ascii="Times New Roman" w:eastAsia="微软雅黑" w:hAnsi="Times New Roman" w:cs="Times New Roman"/>
                <w:color w:val="333333"/>
                <w:kern w:val="0"/>
                <w:sz w:val="24"/>
                <w:szCs w:val="24"/>
              </w:rPr>
              <w:t>30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科研启动费：人文社科（含艺体类、外语类）</w:t>
            </w:r>
            <w:r w:rsidRPr="007F3D1D">
              <w:rPr>
                <w:rFonts w:ascii="Times New Roman" w:eastAsia="微软雅黑" w:hAnsi="Times New Roman" w:cs="Times New Roman"/>
                <w:color w:val="333333"/>
                <w:kern w:val="0"/>
                <w:sz w:val="24"/>
                <w:szCs w:val="24"/>
              </w:rPr>
              <w:t>10</w:t>
            </w:r>
            <w:r w:rsidRPr="007F3D1D">
              <w:rPr>
                <w:rFonts w:ascii="方正仿宋_gbk" w:eastAsia="方正仿宋_gbk" w:hAnsi="微软雅黑" w:cs="宋体" w:hint="eastAsia"/>
                <w:color w:val="333333"/>
                <w:kern w:val="0"/>
                <w:sz w:val="24"/>
                <w:szCs w:val="24"/>
              </w:rPr>
              <w:t>万元，自然科学</w:t>
            </w:r>
            <w:r w:rsidRPr="007F3D1D">
              <w:rPr>
                <w:rFonts w:ascii="Times New Roman" w:eastAsia="微软雅黑" w:hAnsi="Times New Roman" w:cs="Times New Roman"/>
                <w:color w:val="333333"/>
                <w:kern w:val="0"/>
                <w:sz w:val="24"/>
                <w:szCs w:val="24"/>
              </w:rPr>
              <w:t>15</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tc>
      </w:tr>
      <w:tr w:rsidR="007F3D1D" w:rsidRPr="007F3D1D" w:rsidTr="007F3D1D">
        <w:trPr>
          <w:trHeight w:val="1354"/>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p>
        </w:tc>
        <w:tc>
          <w:tcPr>
            <w:tcW w:w="30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B类</w:t>
            </w:r>
          </w:p>
        </w:tc>
        <w:tc>
          <w:tcPr>
            <w:tcW w:w="295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不符合Ⅰ类人才、Ⅱ类人才、Ⅲ类人才A类的条件要求，应聘到教学一线教师岗位。</w:t>
            </w:r>
          </w:p>
        </w:tc>
        <w:tc>
          <w:tcPr>
            <w:tcW w:w="1104" w:type="dxa"/>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安家费：</w:t>
            </w:r>
            <w:r w:rsidRPr="007F3D1D">
              <w:rPr>
                <w:rFonts w:ascii="Times New Roman" w:eastAsia="微软雅黑" w:hAnsi="Times New Roman" w:cs="Times New Roman"/>
                <w:color w:val="333333"/>
                <w:kern w:val="0"/>
                <w:sz w:val="24"/>
                <w:szCs w:val="24"/>
              </w:rPr>
              <w:t>20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科研启动费：</w:t>
            </w:r>
            <w:r w:rsidRPr="007F3D1D">
              <w:rPr>
                <w:rFonts w:ascii="Times New Roman" w:eastAsia="微软雅黑" w:hAnsi="Times New Roman" w:cs="Times New Roman"/>
                <w:color w:val="333333"/>
                <w:kern w:val="0"/>
                <w:sz w:val="24"/>
                <w:szCs w:val="24"/>
              </w:rPr>
              <w:t>10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lastRenderedPageBreak/>
              <w:t> </w:t>
            </w:r>
          </w:p>
        </w:tc>
      </w:tr>
      <w:tr w:rsidR="007F3D1D" w:rsidRPr="007F3D1D" w:rsidTr="007F3D1D">
        <w:trPr>
          <w:trHeight w:val="1371"/>
        </w:trPr>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p>
        </w:tc>
        <w:tc>
          <w:tcPr>
            <w:tcW w:w="30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center"/>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C类</w:t>
            </w:r>
          </w:p>
        </w:tc>
        <w:tc>
          <w:tcPr>
            <w:tcW w:w="2950" w:type="pct"/>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应聘到管理、教辅等岗位；或不符合Ⅰ类人才、Ⅱ类人才、Ⅲ类人才A类、Ⅲ类人才B类的条件要求。</w:t>
            </w:r>
          </w:p>
        </w:tc>
        <w:tc>
          <w:tcPr>
            <w:tcW w:w="1104" w:type="dxa"/>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安家费：</w:t>
            </w:r>
            <w:r w:rsidRPr="007F3D1D">
              <w:rPr>
                <w:rFonts w:ascii="Times New Roman" w:eastAsia="微软雅黑" w:hAnsi="Times New Roman" w:cs="Times New Roman"/>
                <w:color w:val="333333"/>
                <w:kern w:val="0"/>
                <w:sz w:val="24"/>
                <w:szCs w:val="24"/>
              </w:rPr>
              <w:t>10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科研启动费：</w:t>
            </w:r>
            <w:r w:rsidRPr="007F3D1D">
              <w:rPr>
                <w:rFonts w:ascii="Times New Roman" w:eastAsia="微软雅黑" w:hAnsi="Times New Roman" w:cs="Times New Roman"/>
                <w:color w:val="333333"/>
                <w:kern w:val="0"/>
                <w:sz w:val="24"/>
                <w:szCs w:val="24"/>
              </w:rPr>
              <w:t>10</w:t>
            </w:r>
            <w:r w:rsidRPr="007F3D1D">
              <w:rPr>
                <w:rFonts w:ascii="方正仿宋_gbk" w:eastAsia="方正仿宋_gbk" w:hAnsi="微软雅黑" w:cs="宋体" w:hint="eastAsia"/>
                <w:color w:val="333333"/>
                <w:kern w:val="0"/>
                <w:sz w:val="24"/>
                <w:szCs w:val="24"/>
              </w:rPr>
              <w:t>万元。</w:t>
            </w:r>
          </w:p>
          <w:p w:rsidR="007F3D1D" w:rsidRPr="007F3D1D" w:rsidRDefault="007F3D1D" w:rsidP="007F3D1D">
            <w:pPr>
              <w:widowControl/>
              <w:wordWrap w:val="0"/>
              <w:jc w:val="left"/>
              <w:rPr>
                <w:rFonts w:ascii="微软雅黑" w:eastAsia="微软雅黑" w:hAnsi="微软雅黑" w:cs="宋体"/>
                <w:color w:val="333333"/>
                <w:kern w:val="0"/>
                <w:sz w:val="24"/>
                <w:szCs w:val="24"/>
              </w:rPr>
            </w:pPr>
            <w:r w:rsidRPr="007F3D1D">
              <w:rPr>
                <w:rFonts w:ascii="方正仿宋_gbk" w:eastAsia="方正仿宋_gbk" w:hAnsi="微软雅黑" w:cs="宋体" w:hint="eastAsia"/>
                <w:color w:val="333333"/>
                <w:kern w:val="0"/>
                <w:sz w:val="24"/>
                <w:szCs w:val="24"/>
              </w:rPr>
              <w:t> </w:t>
            </w:r>
          </w:p>
        </w:tc>
      </w:tr>
      <w:tr w:rsidR="007F3D1D" w:rsidRPr="007F3D1D" w:rsidTr="007F3D1D">
        <w:trPr>
          <w:trHeight w:val="2726"/>
        </w:trPr>
        <w:tc>
          <w:tcPr>
            <w:tcW w:w="5000" w:type="pct"/>
            <w:gridSpan w:val="4"/>
            <w:tcBorders>
              <w:top w:val="nil"/>
              <w:left w:val="single" w:sz="6" w:space="0" w:color="000000"/>
              <w:bottom w:val="single" w:sz="6" w:space="0" w:color="000000"/>
              <w:right w:val="single" w:sz="6" w:space="0" w:color="000000"/>
            </w:tcBorders>
            <w:shd w:val="clear" w:color="auto" w:fill="FFFFFF"/>
            <w:tcMar>
              <w:top w:w="0" w:type="dxa"/>
              <w:left w:w="120" w:type="dxa"/>
              <w:bottom w:w="0" w:type="dxa"/>
              <w:right w:w="120" w:type="dxa"/>
            </w:tcMar>
            <w:vAlign w:val="center"/>
            <w:hideMark/>
          </w:tcPr>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方正仿宋_gbk" w:eastAsia="方正仿宋_gbk" w:hAnsi="微软雅黑" w:cs="宋体" w:hint="eastAsia"/>
                <w:color w:val="333333"/>
                <w:kern w:val="0"/>
                <w:sz w:val="24"/>
                <w:szCs w:val="24"/>
              </w:rPr>
              <w:t>有关说明：</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1</w:t>
            </w:r>
            <w:r w:rsidRPr="007F3D1D">
              <w:rPr>
                <w:rFonts w:ascii="方正仿宋_gbk" w:eastAsia="方正仿宋_gbk" w:hAnsi="微软雅黑" w:cs="宋体" w:hint="eastAsia"/>
                <w:color w:val="333333"/>
                <w:kern w:val="0"/>
                <w:sz w:val="24"/>
                <w:szCs w:val="24"/>
              </w:rPr>
              <w:t>.安家费实行考核发放，引进人才与学校签订人才引进协议，在正式入职且人事档案寄达我校，经人事处审查个人档案合格后分两次发放。</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2</w:t>
            </w:r>
            <w:r w:rsidRPr="007F3D1D">
              <w:rPr>
                <w:rFonts w:ascii="方正仿宋_gbk" w:eastAsia="方正仿宋_gbk" w:hAnsi="微软雅黑" w:cs="宋体" w:hint="eastAsia"/>
                <w:color w:val="333333"/>
                <w:kern w:val="0"/>
                <w:sz w:val="24"/>
                <w:szCs w:val="24"/>
              </w:rPr>
              <w:t>.科研启动费按照科研项目经费使用管理。在正式入职且人事档案寄达我校，经人事处审查个人档案合格后一次性下达。</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3</w:t>
            </w:r>
            <w:r w:rsidRPr="007F3D1D">
              <w:rPr>
                <w:rFonts w:ascii="方正仿宋_gbk" w:eastAsia="方正仿宋_gbk" w:hAnsi="微软雅黑" w:cs="宋体" w:hint="eastAsia"/>
                <w:color w:val="333333"/>
                <w:kern w:val="0"/>
                <w:sz w:val="24"/>
                <w:szCs w:val="24"/>
              </w:rPr>
              <w:t>.引进博士必须达到《长江师范学院人才引进暂行办法》（长师院发〔</w:t>
            </w:r>
            <w:r w:rsidRPr="007F3D1D">
              <w:rPr>
                <w:rFonts w:ascii="Times New Roman" w:eastAsia="微软雅黑" w:hAnsi="Times New Roman" w:cs="Times New Roman"/>
                <w:color w:val="333333"/>
                <w:kern w:val="0"/>
                <w:sz w:val="24"/>
                <w:szCs w:val="24"/>
              </w:rPr>
              <w:t>2021</w:t>
            </w:r>
            <w:r w:rsidRPr="007F3D1D">
              <w:rPr>
                <w:rFonts w:ascii="方正仿宋_gbk" w:eastAsia="方正仿宋_gbk" w:hAnsi="微软雅黑" w:cs="宋体" w:hint="eastAsia"/>
                <w:color w:val="333333"/>
                <w:kern w:val="0"/>
                <w:sz w:val="24"/>
                <w:szCs w:val="24"/>
              </w:rPr>
              <w:t>〕</w:t>
            </w:r>
            <w:r w:rsidRPr="007F3D1D">
              <w:rPr>
                <w:rFonts w:ascii="Times New Roman" w:eastAsia="微软雅黑" w:hAnsi="Times New Roman" w:cs="Times New Roman"/>
                <w:color w:val="333333"/>
                <w:kern w:val="0"/>
                <w:sz w:val="24"/>
                <w:szCs w:val="24"/>
              </w:rPr>
              <w:t>79</w:t>
            </w:r>
            <w:r w:rsidRPr="007F3D1D">
              <w:rPr>
                <w:rFonts w:ascii="方正仿宋_gbk" w:eastAsia="方正仿宋_gbk" w:hAnsi="微软雅黑" w:cs="宋体" w:hint="eastAsia"/>
                <w:color w:val="333333"/>
                <w:kern w:val="0"/>
                <w:sz w:val="24"/>
                <w:szCs w:val="24"/>
              </w:rPr>
              <w:t>号）规定的基本条件。</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4</w:t>
            </w:r>
            <w:r w:rsidRPr="007F3D1D">
              <w:rPr>
                <w:rFonts w:ascii="方正仿宋_gbk" w:eastAsia="方正仿宋_gbk" w:hAnsi="微软雅黑" w:cs="宋体" w:hint="eastAsia"/>
                <w:color w:val="333333"/>
                <w:kern w:val="0"/>
                <w:sz w:val="24"/>
                <w:szCs w:val="24"/>
              </w:rPr>
              <w:t>.引进博士待遇包含重庆市和涪陵区的高层次人才引进与引育扶持激励等所有待遇。</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5</w:t>
            </w:r>
            <w:r w:rsidRPr="007F3D1D">
              <w:rPr>
                <w:rFonts w:ascii="方正仿宋_gbk" w:eastAsia="方正仿宋_gbk" w:hAnsi="微软雅黑" w:cs="宋体" w:hint="eastAsia"/>
                <w:color w:val="333333"/>
                <w:kern w:val="0"/>
                <w:sz w:val="24"/>
                <w:szCs w:val="24"/>
              </w:rPr>
              <w:t>.学校协助解决引进博士子女入学和配偶、子女落户问题。</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6</w:t>
            </w:r>
            <w:r w:rsidRPr="007F3D1D">
              <w:rPr>
                <w:rFonts w:ascii="方正仿宋_gbk" w:eastAsia="方正仿宋_gbk" w:hAnsi="微软雅黑" w:cs="宋体" w:hint="eastAsia"/>
                <w:color w:val="333333"/>
                <w:kern w:val="0"/>
                <w:sz w:val="24"/>
                <w:szCs w:val="24"/>
              </w:rPr>
              <w:t>.引进博士若不具有副高级职称资格，入职后三年内可聘用到副高级岗位，享受副高级职称的绩效工资。</w:t>
            </w:r>
          </w:p>
          <w:p w:rsidR="007F3D1D" w:rsidRPr="007F3D1D" w:rsidRDefault="007F3D1D" w:rsidP="007F3D1D">
            <w:pPr>
              <w:widowControl/>
              <w:jc w:val="left"/>
              <w:rPr>
                <w:rFonts w:ascii="微软雅黑" w:eastAsia="微软雅黑" w:hAnsi="微软雅黑" w:cs="宋体" w:hint="eastAsia"/>
                <w:color w:val="333333"/>
                <w:kern w:val="0"/>
                <w:sz w:val="24"/>
                <w:szCs w:val="24"/>
              </w:rPr>
            </w:pPr>
            <w:r w:rsidRPr="007F3D1D">
              <w:rPr>
                <w:rFonts w:ascii="Times New Roman" w:eastAsia="微软雅黑" w:hAnsi="Times New Roman" w:cs="Times New Roman"/>
                <w:color w:val="333333"/>
                <w:kern w:val="0"/>
                <w:sz w:val="24"/>
                <w:szCs w:val="24"/>
              </w:rPr>
              <w:t>7</w:t>
            </w:r>
            <w:r w:rsidRPr="007F3D1D">
              <w:rPr>
                <w:rFonts w:ascii="方正仿宋_gbk" w:eastAsia="方正仿宋_gbk" w:hAnsi="微软雅黑" w:cs="宋体" w:hint="eastAsia"/>
                <w:color w:val="333333"/>
                <w:kern w:val="0"/>
                <w:sz w:val="24"/>
                <w:szCs w:val="24"/>
              </w:rPr>
              <w:t>.用于完成服务期目标任务的业绩成果可同时按学校教学科研业绩成果奖励办法享受奖励待遇。</w:t>
            </w:r>
          </w:p>
          <w:p w:rsidR="007F3D1D" w:rsidRPr="007F3D1D" w:rsidRDefault="007F3D1D" w:rsidP="007F3D1D">
            <w:pPr>
              <w:widowControl/>
              <w:jc w:val="left"/>
              <w:rPr>
                <w:rFonts w:ascii="微软雅黑" w:eastAsia="微软雅黑" w:hAnsi="微软雅黑" w:cs="宋体"/>
                <w:color w:val="333333"/>
                <w:kern w:val="0"/>
                <w:sz w:val="24"/>
                <w:szCs w:val="24"/>
              </w:rPr>
            </w:pPr>
            <w:r w:rsidRPr="007F3D1D">
              <w:rPr>
                <w:rFonts w:ascii="Times New Roman" w:eastAsia="微软雅黑" w:hAnsi="Times New Roman" w:cs="Times New Roman"/>
                <w:color w:val="333333"/>
                <w:kern w:val="0"/>
                <w:sz w:val="24"/>
                <w:szCs w:val="24"/>
              </w:rPr>
              <w:t>8</w:t>
            </w:r>
            <w:r w:rsidRPr="007F3D1D">
              <w:rPr>
                <w:rFonts w:ascii="方正仿宋_gbk" w:eastAsia="方正仿宋_gbk" w:hAnsi="微软雅黑" w:cs="宋体" w:hint="eastAsia"/>
                <w:color w:val="333333"/>
                <w:kern w:val="0"/>
                <w:sz w:val="24"/>
                <w:szCs w:val="24"/>
              </w:rPr>
              <w:t>.杰出人才、领军人才、拔尖人才等高端人才，以及特殊人才实行“一人一议”。</w:t>
            </w:r>
          </w:p>
        </w:tc>
      </w:tr>
    </w:tbl>
    <w:p w:rsidR="00EE35A9" w:rsidRPr="007F3D1D" w:rsidRDefault="00EE35A9"/>
    <w:sectPr w:rsidR="00EE35A9" w:rsidRPr="007F3D1D" w:rsidSect="00EE35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楷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F3D1D"/>
    <w:rsid w:val="007F3D1D"/>
    <w:rsid w:val="00EE35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5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3D1D"/>
    <w:rPr>
      <w:b/>
      <w:bCs/>
    </w:rPr>
  </w:style>
</w:styles>
</file>

<file path=word/webSettings.xml><?xml version="1.0" encoding="utf-8"?>
<w:webSettings xmlns:r="http://schemas.openxmlformats.org/officeDocument/2006/relationships" xmlns:w="http://schemas.openxmlformats.org/wordprocessingml/2006/main">
  <w:divs>
    <w:div w:id="18126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1111</Characters>
  <Application>Microsoft Office Word</Application>
  <DocSecurity>0</DocSecurity>
  <Lines>9</Lines>
  <Paragraphs>2</Paragraphs>
  <ScaleCrop>false</ScaleCrop>
  <Company>HP</Company>
  <LinksUpToDate>false</LinksUpToDate>
  <CharactersWithSpaces>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2023-05-08T03:16:00Z</dcterms:created>
  <dcterms:modified xsi:type="dcterms:W3CDTF">2023-05-08T03:16:00Z</dcterms:modified>
</cp:coreProperties>
</file>