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附件1</w:t>
      </w:r>
    </w:p>
    <w:p>
      <w:pPr>
        <w:widowControl/>
        <w:spacing w:line="400" w:lineRule="exact"/>
        <w:jc w:val="center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sz w:val="28"/>
          <w:szCs w:val="28"/>
        </w:rPr>
        <w:t>面向社会招聘校编人员岗位汇总表</w:t>
      </w:r>
    </w:p>
    <w:tbl>
      <w:tblPr>
        <w:tblStyle w:val="4"/>
        <w:tblW w:w="138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52"/>
        <w:gridCol w:w="1145"/>
        <w:gridCol w:w="1380"/>
        <w:gridCol w:w="765"/>
        <w:gridCol w:w="1125"/>
        <w:gridCol w:w="1785"/>
        <w:gridCol w:w="1335"/>
        <w:gridCol w:w="4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tblHeader/>
          <w:jc w:val="center"/>
        </w:trPr>
        <w:tc>
          <w:tcPr>
            <w:tcW w:w="594" w:type="dxa"/>
            <w:vMerge w:val="restart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452" w:type="dxa"/>
            <w:vMerge w:val="restart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  <w:lang w:eastAsia="zh-CN"/>
              </w:rPr>
              <w:t>二级</w:t>
            </w: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单位名称</w:t>
            </w:r>
          </w:p>
        </w:tc>
        <w:tc>
          <w:tcPr>
            <w:tcW w:w="1145" w:type="dxa"/>
            <w:vMerge w:val="restart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岗位性质</w:t>
            </w:r>
          </w:p>
        </w:tc>
        <w:tc>
          <w:tcPr>
            <w:tcW w:w="1380" w:type="dxa"/>
            <w:vMerge w:val="restart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岗位</w:t>
            </w:r>
          </w:p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765" w:type="dxa"/>
            <w:vMerge w:val="restart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数量</w:t>
            </w:r>
          </w:p>
        </w:tc>
        <w:tc>
          <w:tcPr>
            <w:tcW w:w="8505" w:type="dxa"/>
            <w:gridSpan w:val="4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岗位条件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594" w:type="dxa"/>
            <w:vMerge w:val="continue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452" w:type="dxa"/>
            <w:vMerge w:val="continue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145" w:type="dxa"/>
            <w:vMerge w:val="continue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380" w:type="dxa"/>
            <w:vMerge w:val="continue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765" w:type="dxa"/>
            <w:vMerge w:val="continue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b/>
                <w:bCs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学历学位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年龄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1"/>
                <w:szCs w:val="21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中国画与书法艺术学院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中国画或者书法专任教师岗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中国画：人物或者花鸟方向</w:t>
            </w:r>
          </w:p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书法：书法创作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中国画：水墨人物、写意花鸟优先；</w:t>
            </w:r>
          </w:p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书法：书法、篆刻兼擅优先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造型艺术学院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油画系专业教师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油画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3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造型艺术学院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版画系专业教师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版画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专业（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艺术与媒介融合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方向）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4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造型艺术学院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雕塑系专业教师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雕塑艺术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5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数字媒体艺术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专业教师岗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设计学类（用户研究，交互设计、数字产品设计）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6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服装设计专业教师岗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设计学类（研究方向服装设计）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7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产品设计专业教师岗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产品设计(绿色设计方向)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满足以下条件之一：1、获全国美展进京作品及以上荣誉。2、参与国家级重大项目研究及成果出版。3、以第一作者身份参加过具有影响力的绿色设计相关竞赛并获等级奖。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sz w:val="18"/>
                <w:szCs w:val="18"/>
              </w:rPr>
              <w:t>8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首饰工作室专业教师岗（兼资源设备安全管理）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工艺美术(首饰艺术与金属工艺方向)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建环学院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环艺专任教师岗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（环境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艺术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影视动画学院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戏剧影视美术设计专任教师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戏剧与影视学类，美术学类，设计学类 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研究方向：影视美术设计、数字展演设计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岁以下（博士学位可放宽到35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周岁以下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）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影视动画学院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动画专任教师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戏剧与影视学类，美术学类，设计学类。</w:t>
            </w:r>
          </w:p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要求本科阶段为动画专业，硕士阶段为动画方向。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岁以下（博士学位可放宽到35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周岁以下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）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艺术教育学院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水彩画专任教师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艺术学类 （绘画）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                      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本、硕至少有一个阶段学历为水彩画专业方向；                            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通识学院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体育教师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教育学类（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教育硕士专业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（体育方向））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体育学类（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体育硕士专业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体育教育训练学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）(网球、球羽毛球、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篮球方向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本、硕专项一致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实验艺术学院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实验艺术专任教师岗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实验艺术基础教学专业教师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美术学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公共艺术学院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公共艺术专任教师岗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壁画教学工作室专任教师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专业类别：壁画专业； 研究方向：公共空间壁画艺术、传统壁画艺术、壁画材料语言。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公共艺术学院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艺术与科技专任教师岗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游戏艺术设计教学工作室专任教师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专业类别：计算机科学与技术、数字媒体技术；              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研究方向：游戏设计、互动设计、虚拟现实设计。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公共艺术学院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艺术与科技专任教师岗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艺术与科技专业专任教师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专业类别：艺术与科技专业或数字媒体艺术；      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研究方向：数字媒体艺术、沉浸艺术、交互艺术、虚拟现实设计。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党政办公室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综合秘书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中共党员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（含预备党员）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发展规划处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教育管理岗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党委宣传部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宣传干事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1、 新闻传播学类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2、 马克思主义理论类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 艺术学理论类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4、 政治学类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 xml:space="preserve">5、 教育学类 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6、 公共管理类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7、 中国语言文学类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人事处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人事干事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不限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教务处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通识课运行管理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不限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研究生院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研究生学生工作管理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艺术学理论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、法学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、教育学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、公共管理学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中共党员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（含预备党员）；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具有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1年及以上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学生工作经验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研究生院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研究生科创实践管理岗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艺术学理论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、法学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、教育学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、公共管理学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35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具有高校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以上的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科创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管理工作经验。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创作科研处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科研成果转化与科研项目管理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美术学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、设计学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类、艺术学理论类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具有高校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1年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以上的科研管理工作经验。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离退休处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行政秘书                兼国资管理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文学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、法学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、心理学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类，教育学类（心理健康教育专业）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中共党员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（含预备党员）。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实验教学中心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教学秘书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美术学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，艺术硕士专业（美术）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，设计艺术学，艺术（艺术设计）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30周岁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1、具有美术学、设计学硕士学习经历；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2、具有高校工作经验优先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造型艺术学院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教学秘书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不限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设计学院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教学秘书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不限，设计学相关专业优先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35周岁以下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具有1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年以上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教学管理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工作经验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艺术教育学院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研究生教学秘书岗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艺术学类（艺术学、美术学、设计艺术学、戏剧戏曲学、电影学、广播电视艺术学）或者教育学类（课程与教学论、比较教育学、高等教育学、教育技术学）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艺术人文学院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艺术人文学院管理岗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科研及学科秘书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艺术学理论专业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1、中共党员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（含预备党员）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；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2、具有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年及以上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科研管理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工作经验。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影视动画学院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教研管理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艺术学、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艺术学理论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类、教育学类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周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实验艺术学院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管理岗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综合秘书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不限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中共党员</w:t>
            </w: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（含预备党员）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美术馆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非教师专技岗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学术研究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艺术学理论类、美术学（理论相关专业）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美术馆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非教师专技岗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展览策划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spacing w:line="200" w:lineRule="exact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艺术学理论类、美术学（理论相关专业）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594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1452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图书馆</w:t>
            </w:r>
          </w:p>
        </w:tc>
        <w:tc>
          <w:tcPr>
            <w:tcW w:w="114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非教师专技岗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文献建设岗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硕士研究生及以上</w:t>
            </w:r>
          </w:p>
        </w:tc>
        <w:tc>
          <w:tcPr>
            <w:tcW w:w="178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图书馆学、情报学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40周岁以下</w:t>
            </w:r>
          </w:p>
        </w:tc>
        <w:tc>
          <w:tcPr>
            <w:tcW w:w="4260" w:type="dxa"/>
            <w:vAlign w:val="center"/>
          </w:tcPr>
          <w:p>
            <w:pPr>
              <w:widowControl/>
              <w:spacing w:line="200" w:lineRule="exact"/>
              <w:jc w:val="center"/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  <w:lang w:eastAsia="zh-CN"/>
              </w:rPr>
              <w:t>无</w:t>
            </w:r>
          </w:p>
        </w:tc>
      </w:tr>
    </w:tbl>
    <w:p>
      <w:pPr>
        <w:widowControl/>
        <w:spacing w:line="560" w:lineRule="exact"/>
        <w:jc w:val="left"/>
        <w:rPr>
          <w:rFonts w:ascii="仿宋" w:hAnsi="仿宋" w:eastAsia="仿宋"/>
          <w:sz w:val="32"/>
          <w:szCs w:val="32"/>
        </w:rPr>
        <w:sectPr>
          <w:pgSz w:w="16838" w:h="11906" w:orient="landscape"/>
          <w:pgMar w:top="1134" w:right="1134" w:bottom="1134" w:left="1134" w:header="851" w:footer="992" w:gutter="0"/>
          <w:cols w:space="425" w:num="1"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Y2UxNzI2M2Q4ZDgzMzdmYTgxODU0MDE1ZmQ5ZWIifQ=="/>
  </w:docVars>
  <w:rsids>
    <w:rsidRoot w:val="00000000"/>
    <w:rsid w:val="0F7C29E4"/>
    <w:rsid w:val="10781D7F"/>
    <w:rsid w:val="3363289F"/>
    <w:rsid w:val="3380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2303</Words>
  <Characters>2371</Characters>
  <Lines>0</Lines>
  <Paragraphs>0</Paragraphs>
  <TotalTime>0</TotalTime>
  <ScaleCrop>false</ScaleCrop>
  <LinksUpToDate>false</LinksUpToDate>
  <CharactersWithSpaces>2479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2023-07-05T03:43:00Z</dcterms:created>
  <dc:creator>hp</dc:creator>
  <cp:lastModifiedBy>翊涵</cp:lastModifiedBy>
  <dcterms:modified xsi:type="dcterms:W3CDTF">2023-07-06T03:04:27Z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06700FE351154420A43DF3307FA7E64D_12</vt:lpwstr>
  </property>
</Properties>
</file>