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beforeAutospacing="0" w:after="0" w:line="600" w:lineRule="exact"/>
        <w:jc w:val="both"/>
        <w:rPr>
          <w:rFonts w:ascii="方正黑体_GBK" w:hAnsi="Times New Roman" w:eastAsia="方正黑体_GBK"/>
          <w:color w:val="333333"/>
          <w:sz w:val="32"/>
          <w:szCs w:val="32"/>
        </w:rPr>
      </w:pPr>
      <w:bookmarkStart w:id="0" w:name="_GoBack"/>
      <w:bookmarkEnd w:id="0"/>
      <w:r>
        <w:rPr>
          <w:rFonts w:hint="eastAsia" w:ascii="方正黑体_GBK" w:hAnsi="Times New Roman" w:eastAsia="方正黑体_GBK"/>
          <w:color w:val="333333"/>
          <w:sz w:val="32"/>
          <w:szCs w:val="32"/>
        </w:rPr>
        <w:t>附件</w:t>
      </w:r>
    </w:p>
    <w:p>
      <w:pPr>
        <w:pStyle w:val="11"/>
        <w:spacing w:after="240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 xml:space="preserve">重庆高新开发建设投资集团有限公司 </w:t>
      </w:r>
      <w:r>
        <w:rPr>
          <w:rFonts w:ascii="方正小标宋_GBK" w:eastAsia="方正小标宋_GBK"/>
          <w:sz w:val="44"/>
          <w:szCs w:val="44"/>
        </w:rPr>
        <w:t xml:space="preserve">            </w:t>
      </w:r>
      <w:r>
        <w:rPr>
          <w:rFonts w:hint="eastAsia" w:ascii="方正小标宋_GBK" w:eastAsia="方正小标宋_GBK"/>
          <w:sz w:val="44"/>
          <w:szCs w:val="44"/>
        </w:rPr>
        <w:t>202</w:t>
      </w:r>
      <w:r>
        <w:rPr>
          <w:rFonts w:ascii="方正小标宋_GBK" w:eastAsia="方正小标宋_GBK"/>
          <w:sz w:val="44"/>
          <w:szCs w:val="44"/>
        </w:rPr>
        <w:t>3</w:t>
      </w:r>
      <w:r>
        <w:rPr>
          <w:rFonts w:hint="eastAsia" w:ascii="方正小标宋_GBK" w:eastAsia="方正小标宋_GBK"/>
          <w:sz w:val="44"/>
          <w:szCs w:val="44"/>
        </w:rPr>
        <w:t xml:space="preserve">年公开招聘人才（第一批）总成绩 </w:t>
      </w:r>
      <w:r>
        <w:rPr>
          <w:rFonts w:ascii="方正小标宋_GBK" w:eastAsia="方正小标宋_GBK"/>
          <w:sz w:val="44"/>
          <w:szCs w:val="44"/>
        </w:rPr>
        <w:t xml:space="preserve">                                   </w:t>
      </w:r>
      <w:r>
        <w:rPr>
          <w:rFonts w:hint="eastAsia" w:ascii="方正小标宋_GBK" w:eastAsia="方正小标宋_GBK"/>
          <w:sz w:val="44"/>
          <w:szCs w:val="44"/>
        </w:rPr>
        <w:t>公示表</w:t>
      </w:r>
    </w:p>
    <w:tbl>
      <w:tblPr>
        <w:tblStyle w:val="5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2127"/>
        <w:gridCol w:w="1688"/>
        <w:gridCol w:w="1366"/>
        <w:gridCol w:w="804"/>
        <w:gridCol w:w="756"/>
        <w:gridCol w:w="992"/>
        <w:gridCol w:w="1276"/>
        <w:gridCol w:w="96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tblHeader/>
        </w:trPr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黑体_GBK" w:hAnsi="等线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等线" w:eastAsia="方正黑体_GBK" w:cs="宋体"/>
                <w:color w:val="000000"/>
                <w:sz w:val="24"/>
                <w:szCs w:val="24"/>
              </w:rPr>
              <w:t>报考公司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黑体_GBK" w:hAnsi="等线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等线" w:eastAsia="方正黑体_GBK" w:cs="宋体"/>
                <w:color w:val="000000"/>
                <w:sz w:val="24"/>
                <w:szCs w:val="24"/>
              </w:rPr>
              <w:t>部门名称</w:t>
            </w:r>
          </w:p>
        </w:tc>
        <w:tc>
          <w:tcPr>
            <w:tcW w:w="16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黑体_GBK" w:hAnsi="等线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等线" w:eastAsia="方正黑体_GBK" w:cs="宋体"/>
                <w:color w:val="000000"/>
                <w:sz w:val="24"/>
                <w:szCs w:val="24"/>
              </w:rPr>
              <w:t>岗位名称</w:t>
            </w:r>
          </w:p>
        </w:tc>
        <w:tc>
          <w:tcPr>
            <w:tcW w:w="12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黑体_GBK" w:hAnsi="等线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等线" w:eastAsia="方正黑体_GBK" w:cs="宋体"/>
                <w:color w:val="000000"/>
                <w:sz w:val="24"/>
                <w:szCs w:val="24"/>
              </w:rPr>
              <w:t>准考证号</w:t>
            </w:r>
          </w:p>
        </w:tc>
        <w:tc>
          <w:tcPr>
            <w:tcW w:w="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黑体_GBK" w:hAnsi="等线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等线" w:eastAsia="方正黑体_GBK" w:cs="宋体"/>
                <w:color w:val="000000"/>
                <w:sz w:val="24"/>
                <w:szCs w:val="24"/>
              </w:rPr>
              <w:t>笔试</w:t>
            </w:r>
          </w:p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黑体_GBK" w:hAnsi="等线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等线" w:eastAsia="方正黑体_GBK" w:cs="宋体"/>
                <w:color w:val="000000"/>
                <w:sz w:val="24"/>
                <w:szCs w:val="24"/>
              </w:rPr>
              <w:t xml:space="preserve">成绩 </w:t>
            </w:r>
          </w:p>
        </w:tc>
        <w:tc>
          <w:tcPr>
            <w:tcW w:w="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黑体_GBK" w:hAnsi="等线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等线" w:eastAsia="方正黑体_GBK" w:cs="宋体"/>
                <w:color w:val="000000"/>
                <w:sz w:val="24"/>
                <w:szCs w:val="24"/>
              </w:rPr>
              <w:t>面试</w:t>
            </w:r>
          </w:p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黑体_GBK" w:hAnsi="等线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等线" w:eastAsia="方正黑体_GBK" w:cs="宋体"/>
                <w:color w:val="000000"/>
                <w:sz w:val="24"/>
                <w:szCs w:val="24"/>
              </w:rPr>
              <w:t xml:space="preserve">成绩 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黑体_GBK" w:hAnsi="等线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等线" w:eastAsia="方正黑体_GBK" w:cs="宋体"/>
                <w:color w:val="000000"/>
                <w:sz w:val="24"/>
                <w:szCs w:val="24"/>
              </w:rPr>
              <w:t>总成绩</w:t>
            </w:r>
          </w:p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黑体_GBK" w:hAnsi="等线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等线" w:eastAsia="方正黑体_GBK" w:cs="宋体"/>
                <w:color w:val="000000"/>
                <w:sz w:val="24"/>
                <w:szCs w:val="24"/>
              </w:rPr>
              <w:t>得分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黑体_GBK" w:hAnsi="等线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等线" w:eastAsia="方正黑体_GBK" w:cs="宋体"/>
                <w:color w:val="000000"/>
                <w:sz w:val="24"/>
                <w:szCs w:val="24"/>
              </w:rPr>
              <w:t>是否进入体检与心理测评</w:t>
            </w:r>
          </w:p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黑体_GBK" w:hAnsi="等线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等线" w:eastAsia="方正黑体_GBK" w:cs="宋体"/>
                <w:color w:val="000000"/>
                <w:sz w:val="24"/>
                <w:szCs w:val="24"/>
              </w:rPr>
              <w:t>环节</w:t>
            </w:r>
          </w:p>
        </w:tc>
        <w:tc>
          <w:tcPr>
            <w:tcW w:w="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黑体_GBK" w:hAnsi="等线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等线" w:eastAsia="方正黑体_GBK" w:cs="宋体"/>
                <w:color w:val="00000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城市建设集团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风控审计部</w:t>
            </w: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（监事会办公室）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纪检监察岗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202300424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77.78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87.00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82.39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风控审计部</w:t>
            </w: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（监事会办公室）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纪检监察岗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202301816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84.52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79.00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81.76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面试成绩低于80分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风控审计部</w:t>
            </w: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（监事会办公室）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纪检监察岗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202301217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79.24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74.33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76.79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面试成绩低于80分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总工办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市政设计管理岗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202300122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82.48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96.00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89.24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总工办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市政设计管理岗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202300830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83.32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92.67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87.99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总工办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市政设计管理岗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202301002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81.26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89.67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85.46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招标合同部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造价管理岗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202301401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79.82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92.33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86.08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招标合同部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造价管理岗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202301529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80.00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88.33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84.17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招标合同部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造价管理岗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202301821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79.84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87.33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83.59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房建工程部（工程一部）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精装工程师岗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202300208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83.68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93.33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88.51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房建工程部（工程一部）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精装工程师岗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202301715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73.22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91.00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82.11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房建工程部（工程一部）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精装工程师岗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202301330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73.28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90.00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81.64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市政工程部（工程二部）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现场代表岗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202300725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76.06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91.00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83.53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市政工程部（工程二部）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现场代表岗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202300313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80.02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86.33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83.18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市政工程部（工程二部）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现场代表岗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202300804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78.78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86.67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82.72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科技产业公司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综合部（党委办公室、董事会办公室）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行政综合岗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202300324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81.66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89.67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85.66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综合部（党委办公室、董事会办公室）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行政综合岗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202301404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81.22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85.33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83.28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综合部（党委办公室、董事会办公室）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行政综合岗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202300104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82.02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80.33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81.18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风控监察部（纪检监察室、审计法务部、监事会办公室）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纪检监察岗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202301605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86.54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81.67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84.10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风控监察部（纪检监察室、审计法务部、监事会办公室）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纪检监察岗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202301510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69.24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71.67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70.45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面试成绩低于80分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风控监察部（纪检监察室、审计法务部、监事会办公室）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纪检监察岗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202300311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74.24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放弃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规划运行部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工程管理岗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202301815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85.50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89.00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87.25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规划运行部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工程管理岗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202300701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88.18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85.00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86.59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规划运行部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工程管理岗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202300406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84.30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84.33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84.32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资产运营部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资产运维岗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202300909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83.66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85.67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84.66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资产运营部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资产运维岗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202301726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83.66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82.33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83.00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资产运营部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资产运维岗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202301720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79.96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82.33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81.15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生命科技事业部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产业服务岗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202300919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81.02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88.00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84.51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生命科技事业部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产业服务岗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202300310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81.86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84.67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83.26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生命科技事业部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产业服务岗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202301804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78.56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79.67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79.11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面试成绩低于80分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智能科技事业部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产业服务岗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202300405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84.30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87.67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85.98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智能科技事业部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产业服务岗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202300116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82.44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89.33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85.89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智能科技事业部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产业服务岗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202301303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83.54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83.33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83.44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智能科技事业部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产业服务岗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202300928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83.48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82.67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83.07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智能科技事业部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产业服务岗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202300304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83.08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83.00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83.04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智能科技事业部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产业服务岗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202301705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81.32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83.33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82.33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低碳科技事业部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产业服务岗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202301512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75.92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91.33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83.63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低碳科技事业部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产业服务岗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202300204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79.98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80.67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80.32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低碳科技事业部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产业服务岗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202301021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74.98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84.33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79.66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高新产业公司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风控监察部（纪检监察室、</w:t>
            </w: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审计法务部、监事会办公室）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纪检监察岗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202301503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75.52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91.00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83.26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风控监察部（纪检监察室、</w:t>
            </w: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审计法务部、监事会办公室）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纪检监察岗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202300915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79.56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83.00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81.28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风控监察部（纪检监察室、</w:t>
            </w: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审计法务部、监事会办公室）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纪检监察岗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202301020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71.80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81.33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76.57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产业发展部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招商岗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202300412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73.04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89.67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81.35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产业发展部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招商岗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202300503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78.56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83.33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80.95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产业发展部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招商岗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202301102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67.58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79.67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73.62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面试成绩低于80分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产业发展部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数据统计岗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202300520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78.18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90.67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84.42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产业发展部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数据统计岗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202300508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85.34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82.67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84.00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产业发展部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数据统计岗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202301220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77.80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80.33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79.07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城市运营集团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财务中心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会计岗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202300314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80.46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87.33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83.90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财务中心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会计岗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202300604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75.98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89.67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82.82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财务中心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会计岗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202300209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81.08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84.00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82.54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商贸事业部（投资管理部）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商贸集采经营岗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202300730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79.80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89.67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84.73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商贸事业部（投资管理部）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商贸集采经营岗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202301514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80.42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85.00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82.71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商贸事业部（投资管理部）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商贸集采经营岗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202300115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78.44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84.00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81.22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商贸事业部（投资管理部）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投资管理岗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202300713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83.50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90.67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87.08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商贸事业部（投资管理部）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投资管理岗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202300806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73.66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88.00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80.83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商贸事业部（投资管理部）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投资管理岗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202300802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74.58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86.00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80.29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新基建事业部（技术开发部）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运营维护岗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202300619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80.20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89.00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84.60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新基建事业部（技术开发部）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运营维护岗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202300504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76.74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86.00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81.37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新基建事业部（技术开发部）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运营维护岗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202301316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67.80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87.33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77.57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工程管理部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综合管理岗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202300714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80.86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89.33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85.10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科学城置业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综合财务部（财务中心）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综合行政岗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202301606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75.36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92.33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83.85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综合财务部（财务中心）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综合行政岗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202301405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74.74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80.67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77.70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综合财务部（财务中心）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综合行政岗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202300213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70.82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81.67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76.24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综合财务部（财务中心）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监督监察岗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202301710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81.44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85.00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83.22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综合财务部（财务中心）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监督监察岗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202300202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83.46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80.67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82.06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综合财务部（财务中心）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监督监察岗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202301314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82.24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77.33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79.79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面试成绩低于80分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置业开发部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投资拓展岗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202300410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75.56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86.00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80.78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工程管理部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工程管理岗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202300912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85.72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87.00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86.36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工程管理部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工程管理岗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202301423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85.90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85.67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85.78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工程管理部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工程管理岗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202301707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80.54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84.33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82.44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高远物业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酒店管理分公司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运营管理岗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202300414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80.00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89.67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84.83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等线" w:hAnsi="等线" w:eastAsia="等线" w:cs="宋体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酒店管理分公司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运营管理岗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202301005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72.30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92.00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82.15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等线" w:hAnsi="等线" w:eastAsia="等线" w:cs="宋体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酒店管理分公司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运营管理岗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202301320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75.10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84.33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79.72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酒店管理分公司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运营管理岗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202301324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73.82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82.67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78.24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酒店管理分公司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市场营销岗一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202301601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76.56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87.33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81.95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等线" w:hAnsi="等线" w:eastAsia="等线" w:cs="宋体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合同风控部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法务岗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202301615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80.84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91.00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85.92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等线" w:hAnsi="等线" w:eastAsia="等线" w:cs="宋体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合同风控部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法务岗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202301025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77.94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88.33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83.14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等线" w:hAnsi="等线" w:eastAsia="等线" w:cs="宋体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合同风控部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法务岗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202300326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74.64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85.67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80.15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等线" w:hAnsi="等线" w:eastAsia="等线" w:cs="宋体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育成公司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园区服务部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园区服务岗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202301604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70.24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91.00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80.62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等线" w:hAnsi="等线" w:eastAsia="等线" w:cs="宋体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园区服务部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园区服务岗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202301129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70.18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86.67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78.42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园区服务部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color w:val="000000"/>
                <w:sz w:val="24"/>
                <w:szCs w:val="24"/>
              </w:rPr>
              <w:t>园区服务岗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sz w:val="24"/>
                <w:szCs w:val="24"/>
              </w:rPr>
              <w:t>202300416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62.54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84.67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Times New Roman" w:hAnsi="Times New Roman" w:eastAsia="等线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/>
                <w:color w:val="000000"/>
                <w:sz w:val="24"/>
                <w:szCs w:val="24"/>
              </w:rPr>
              <w:t>73.60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before="0" w:beforeAutospacing="0" w:after="0" w:line="300" w:lineRule="exact"/>
              <w:jc w:val="center"/>
              <w:rPr>
                <w:rFonts w:ascii="方正仿宋_GBK" w:hAnsi="等线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sz w:val="24"/>
                <w:szCs w:val="24"/>
              </w:rPr>
              <w:t>　</w:t>
            </w:r>
          </w:p>
        </w:tc>
      </w:tr>
    </w:tbl>
    <w:p>
      <w:pPr>
        <w:spacing w:before="0" w:beforeAutospacing="0" w:after="0" w:line="600" w:lineRule="exact"/>
        <w:ind w:left="1520" w:leftChars="200" w:hanging="1080" w:hangingChars="300"/>
        <w:jc w:val="both"/>
        <w:rPr>
          <w:rFonts w:ascii="方正小标宋_GBK" w:hAnsi="Times New Roman" w:eastAsia="方正小标宋_GBK"/>
          <w:color w:val="333333"/>
          <w:sz w:val="36"/>
          <w:szCs w:val="36"/>
        </w:rPr>
      </w:pPr>
    </w:p>
    <w:sectPr>
      <w:pgSz w:w="11906" w:h="16838"/>
      <w:pgMar w:top="1701" w:right="720" w:bottom="1701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FD8AC66F-D34C-43FF-9EC5-5A3DEC56748A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4A1167C0-3AF1-43F3-BFC6-1823AF1A7BC9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3" w:fontKey="{81694EF7-A5AF-484E-9055-42CA51B612F6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AFA2FF47-1143-4EAA-B22B-7E8FCC19AED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RmYWUxOWJhMWE5OGFmZGQyNzA0NjBkZTNhOGRjMDEifQ=="/>
  </w:docVars>
  <w:rsids>
    <w:rsidRoot w:val="005F03B2"/>
    <w:rsid w:val="000778C7"/>
    <w:rsid w:val="00174385"/>
    <w:rsid w:val="00174FB3"/>
    <w:rsid w:val="001C28A4"/>
    <w:rsid w:val="001E0861"/>
    <w:rsid w:val="002373B6"/>
    <w:rsid w:val="002460E4"/>
    <w:rsid w:val="00294352"/>
    <w:rsid w:val="00365653"/>
    <w:rsid w:val="00370820"/>
    <w:rsid w:val="003C4AB7"/>
    <w:rsid w:val="0050567B"/>
    <w:rsid w:val="00550A57"/>
    <w:rsid w:val="005550DF"/>
    <w:rsid w:val="00571CE9"/>
    <w:rsid w:val="005A047A"/>
    <w:rsid w:val="005F03B2"/>
    <w:rsid w:val="005F6319"/>
    <w:rsid w:val="006B26C6"/>
    <w:rsid w:val="006C7793"/>
    <w:rsid w:val="00826187"/>
    <w:rsid w:val="0083110C"/>
    <w:rsid w:val="0087578B"/>
    <w:rsid w:val="00933736"/>
    <w:rsid w:val="0095105E"/>
    <w:rsid w:val="009510B4"/>
    <w:rsid w:val="009579D3"/>
    <w:rsid w:val="00986333"/>
    <w:rsid w:val="00B97C1E"/>
    <w:rsid w:val="00BD379E"/>
    <w:rsid w:val="00BD5C40"/>
    <w:rsid w:val="00C033D8"/>
    <w:rsid w:val="00C76E8C"/>
    <w:rsid w:val="00D24153"/>
    <w:rsid w:val="00D72AFD"/>
    <w:rsid w:val="00DD7724"/>
    <w:rsid w:val="00E17F1A"/>
    <w:rsid w:val="00E230AE"/>
    <w:rsid w:val="00E72EDD"/>
    <w:rsid w:val="00EC18F0"/>
    <w:rsid w:val="00F611CF"/>
    <w:rsid w:val="2DA71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before="100" w:beforeAutospacing="1" w:after="200"/>
    </w:pPr>
    <w:rPr>
      <w:rFonts w:ascii="Tahoma" w:hAnsi="Tahoma" w:eastAsia="微软雅黑" w:cs="Times New Roman"/>
      <w:kern w:val="0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adjustRightInd/>
      <w:snapToGrid/>
      <w:spacing w:after="100" w:afterAutospacing="1"/>
    </w:pPr>
    <w:rPr>
      <w:rFonts w:ascii="宋体" w:hAnsi="宋体" w:eastAsia="宋体" w:cs="宋体"/>
      <w:sz w:val="24"/>
      <w:szCs w:val="24"/>
    </w:rPr>
  </w:style>
  <w:style w:type="character" w:styleId="7">
    <w:name w:val="FollowedHyperlink"/>
    <w:basedOn w:val="6"/>
    <w:semiHidden/>
    <w:unhideWhenUsed/>
    <w:uiPriority w:val="99"/>
    <w:rPr>
      <w:color w:val="954F72"/>
      <w:u w:val="single"/>
    </w:rPr>
  </w:style>
  <w:style w:type="character" w:styleId="8">
    <w:name w:val="Hyperlink"/>
    <w:basedOn w:val="6"/>
    <w:semiHidden/>
    <w:unhideWhenUsed/>
    <w:uiPriority w:val="99"/>
    <w:rPr>
      <w:color w:val="0563C1"/>
      <w:u w:val="single"/>
    </w:rPr>
  </w:style>
  <w:style w:type="character" w:customStyle="1" w:styleId="9">
    <w:name w:val="页眉 字符"/>
    <w:basedOn w:val="6"/>
    <w:link w:val="3"/>
    <w:uiPriority w:val="99"/>
    <w:rPr>
      <w:rFonts w:ascii="Tahoma" w:hAnsi="Tahoma" w:eastAsia="微软雅黑" w:cs="Times New Roman"/>
      <w:kern w:val="0"/>
      <w:sz w:val="18"/>
      <w:szCs w:val="18"/>
    </w:rPr>
  </w:style>
  <w:style w:type="character" w:customStyle="1" w:styleId="10">
    <w:name w:val="页脚 字符"/>
    <w:basedOn w:val="6"/>
    <w:link w:val="2"/>
    <w:uiPriority w:val="99"/>
    <w:rPr>
      <w:rFonts w:ascii="Tahoma" w:hAnsi="Tahoma" w:eastAsia="微软雅黑" w:cs="Times New Roman"/>
      <w:kern w:val="0"/>
      <w:sz w:val="18"/>
      <w:szCs w:val="18"/>
    </w:rPr>
  </w:style>
  <w:style w:type="paragraph" w:styleId="11">
    <w:name w:val="No Spacing"/>
    <w:qFormat/>
    <w:uiPriority w:val="1"/>
    <w:pPr>
      <w:adjustRightInd w:val="0"/>
      <w:snapToGrid w:val="0"/>
      <w:spacing w:beforeAutospacing="1"/>
    </w:pPr>
    <w:rPr>
      <w:rFonts w:ascii="Tahoma" w:hAnsi="Tahoma" w:eastAsia="微软雅黑" w:cs="Times New Roman"/>
      <w:kern w:val="0"/>
      <w:sz w:val="22"/>
      <w:szCs w:val="22"/>
      <w:lang w:val="en-US" w:eastAsia="zh-CN" w:bidi="ar-SA"/>
    </w:rPr>
  </w:style>
  <w:style w:type="paragraph" w:customStyle="1" w:styleId="12">
    <w:name w:val="msonormal"/>
    <w:basedOn w:val="1"/>
    <w:uiPriority w:val="0"/>
    <w:pPr>
      <w:adjustRightInd/>
      <w:snapToGrid/>
      <w:spacing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13">
    <w:name w:val="font5"/>
    <w:basedOn w:val="1"/>
    <w:uiPriority w:val="0"/>
    <w:pPr>
      <w:adjustRightInd/>
      <w:snapToGrid/>
      <w:spacing w:after="100" w:afterAutospacing="1"/>
    </w:pPr>
    <w:rPr>
      <w:rFonts w:ascii="等线" w:hAnsi="等线" w:eastAsia="等线" w:cs="宋体"/>
      <w:sz w:val="18"/>
      <w:szCs w:val="18"/>
    </w:rPr>
  </w:style>
  <w:style w:type="paragraph" w:customStyle="1" w:styleId="14">
    <w:name w:val="font6"/>
    <w:basedOn w:val="1"/>
    <w:uiPriority w:val="0"/>
    <w:pPr>
      <w:adjustRightInd/>
      <w:snapToGrid/>
      <w:spacing w:after="100" w:afterAutospacing="1"/>
    </w:pPr>
    <w:rPr>
      <w:rFonts w:ascii="宋体" w:hAnsi="宋体" w:eastAsia="宋体" w:cs="宋体"/>
      <w:sz w:val="18"/>
      <w:szCs w:val="18"/>
    </w:rPr>
  </w:style>
  <w:style w:type="paragraph" w:customStyle="1" w:styleId="15">
    <w:name w:val="font7"/>
    <w:basedOn w:val="1"/>
    <w:uiPriority w:val="0"/>
    <w:pPr>
      <w:adjustRightInd/>
      <w:snapToGrid/>
      <w:spacing w:after="100" w:afterAutospacing="1"/>
    </w:pPr>
    <w:rPr>
      <w:rFonts w:ascii="方正仿宋_GBK" w:hAnsi="宋体" w:eastAsia="方正仿宋_GBK" w:cs="宋体"/>
      <w:color w:val="000000"/>
    </w:rPr>
  </w:style>
  <w:style w:type="paragraph" w:customStyle="1" w:styleId="16">
    <w:name w:val="font8"/>
    <w:basedOn w:val="1"/>
    <w:uiPriority w:val="0"/>
    <w:pPr>
      <w:adjustRightInd/>
      <w:snapToGrid/>
      <w:spacing w:after="100" w:afterAutospacing="1"/>
    </w:pPr>
    <w:rPr>
      <w:rFonts w:ascii="方正仿宋_GBK" w:hAnsi="宋体" w:eastAsia="方正仿宋_GBK" w:cs="宋体"/>
      <w:color w:val="000000"/>
      <w:sz w:val="18"/>
      <w:szCs w:val="18"/>
    </w:rPr>
  </w:style>
  <w:style w:type="paragraph" w:customStyle="1" w:styleId="17">
    <w:name w:val="font9"/>
    <w:basedOn w:val="1"/>
    <w:uiPriority w:val="0"/>
    <w:pPr>
      <w:adjustRightInd/>
      <w:snapToGrid/>
      <w:spacing w:after="100" w:afterAutospacing="1"/>
    </w:pPr>
    <w:rPr>
      <w:rFonts w:ascii="方正黑体_GBK" w:hAnsi="宋体" w:eastAsia="方正黑体_GBK" w:cs="宋体"/>
      <w:color w:val="000000"/>
      <w:sz w:val="20"/>
      <w:szCs w:val="20"/>
    </w:rPr>
  </w:style>
  <w:style w:type="paragraph" w:customStyle="1" w:styleId="18">
    <w:name w:val="xl6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after="100" w:afterAutospacing="1"/>
      <w:jc w:val="center"/>
    </w:pPr>
    <w:rPr>
      <w:rFonts w:ascii="方正仿宋_GBK" w:hAnsi="宋体" w:eastAsia="方正仿宋_GBK" w:cs="宋体"/>
      <w:sz w:val="24"/>
      <w:szCs w:val="24"/>
    </w:rPr>
  </w:style>
  <w:style w:type="paragraph" w:customStyle="1" w:styleId="19">
    <w:name w:val="xl6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20">
    <w:name w:val="xl6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after="100" w:afterAutospacing="1"/>
      <w:jc w:val="center"/>
    </w:pPr>
    <w:rPr>
      <w:rFonts w:ascii="Times New Roman" w:hAnsi="Times New Roman" w:eastAsia="宋体"/>
      <w:sz w:val="24"/>
      <w:szCs w:val="24"/>
    </w:rPr>
  </w:style>
  <w:style w:type="paragraph" w:customStyle="1" w:styleId="21">
    <w:name w:val="xl6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after="100" w:afterAutospacing="1"/>
      <w:jc w:val="center"/>
    </w:pPr>
    <w:rPr>
      <w:rFonts w:ascii="方正仿宋_GBK" w:hAnsi="宋体" w:eastAsia="方正仿宋_GBK" w:cs="宋体"/>
      <w:sz w:val="24"/>
      <w:szCs w:val="24"/>
    </w:rPr>
  </w:style>
  <w:style w:type="paragraph" w:customStyle="1" w:styleId="22">
    <w:name w:val="xl6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after="100" w:afterAutospacing="1"/>
      <w:jc w:val="center"/>
    </w:pPr>
    <w:rPr>
      <w:rFonts w:ascii="Times New Roman" w:hAnsi="Times New Roman" w:eastAsia="宋体"/>
      <w:sz w:val="18"/>
      <w:szCs w:val="18"/>
    </w:rPr>
  </w:style>
  <w:style w:type="paragraph" w:customStyle="1" w:styleId="23">
    <w:name w:val="xl68"/>
    <w:basedOn w:val="1"/>
    <w:uiPriority w:val="0"/>
    <w:pPr>
      <w:adjustRightInd/>
      <w:snapToGrid/>
      <w:spacing w:after="100" w:afterAutospacing="1"/>
      <w:jc w:val="center"/>
    </w:pPr>
    <w:rPr>
      <w:rFonts w:ascii="宋体" w:hAnsi="宋体" w:eastAsia="宋体" w:cs="宋体"/>
      <w:sz w:val="18"/>
      <w:szCs w:val="18"/>
    </w:rPr>
  </w:style>
  <w:style w:type="paragraph" w:customStyle="1" w:styleId="24">
    <w:name w:val="xl69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after="100" w:afterAutospacing="1"/>
      <w:jc w:val="center"/>
    </w:pPr>
    <w:rPr>
      <w:rFonts w:ascii="方正仿宋_GBK" w:hAnsi="宋体" w:eastAsia="方正仿宋_GBK" w:cs="宋体"/>
      <w:sz w:val="24"/>
      <w:szCs w:val="24"/>
    </w:rPr>
  </w:style>
  <w:style w:type="paragraph" w:customStyle="1" w:styleId="25">
    <w:name w:val="xl70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adjustRightInd/>
      <w:snapToGrid/>
      <w:spacing w:after="100" w:afterAutospacing="1"/>
      <w:jc w:val="center"/>
    </w:pPr>
    <w:rPr>
      <w:rFonts w:ascii="Times New Roman" w:hAnsi="Times New Roman" w:eastAsia="宋体"/>
      <w:sz w:val="24"/>
      <w:szCs w:val="24"/>
    </w:rPr>
  </w:style>
  <w:style w:type="paragraph" w:customStyle="1" w:styleId="26">
    <w:name w:val="xl71"/>
    <w:basedOn w:val="1"/>
    <w:uiPriority w:val="0"/>
    <w:pPr>
      <w:pBdr>
        <w:left w:val="single" w:color="auto" w:sz="4" w:space="0"/>
        <w:right w:val="single" w:color="auto" w:sz="4" w:space="0"/>
      </w:pBdr>
      <w:adjustRightInd/>
      <w:snapToGrid/>
      <w:spacing w:after="100" w:afterAutospacing="1"/>
      <w:jc w:val="center"/>
    </w:pPr>
    <w:rPr>
      <w:rFonts w:ascii="Times New Roman" w:hAnsi="Times New Roman" w:eastAsia="宋体"/>
      <w:sz w:val="24"/>
      <w:szCs w:val="24"/>
    </w:rPr>
  </w:style>
  <w:style w:type="paragraph" w:customStyle="1" w:styleId="27">
    <w:name w:val="xl72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after="100" w:afterAutospacing="1"/>
      <w:jc w:val="center"/>
    </w:pPr>
    <w:rPr>
      <w:rFonts w:ascii="Times New Roman" w:hAnsi="Times New Roman" w:eastAsia="宋体"/>
      <w:sz w:val="24"/>
      <w:szCs w:val="24"/>
    </w:rPr>
  </w:style>
  <w:style w:type="paragraph" w:customStyle="1" w:styleId="28">
    <w:name w:val="xl73"/>
    <w:basedOn w:val="1"/>
    <w:qFormat/>
    <w:uiPriority w:val="0"/>
    <w:pPr>
      <w:adjustRightInd/>
      <w:snapToGrid/>
      <w:spacing w:after="100" w:afterAutospacing="1"/>
    </w:pPr>
    <w:rPr>
      <w:rFonts w:ascii="方正黑体_GBK" w:hAnsi="宋体" w:eastAsia="方正黑体_GBK" w:cs="宋体"/>
      <w:sz w:val="24"/>
      <w:szCs w:val="24"/>
    </w:rPr>
  </w:style>
  <w:style w:type="paragraph" w:customStyle="1" w:styleId="29">
    <w:name w:val="xl7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after="100" w:afterAutospacing="1"/>
      <w:jc w:val="center"/>
    </w:pPr>
    <w:rPr>
      <w:rFonts w:ascii="方正黑体_GBK" w:hAnsi="宋体" w:eastAsia="方正黑体_GBK" w:cs="宋体"/>
      <w:sz w:val="20"/>
      <w:szCs w:val="20"/>
    </w:rPr>
  </w:style>
  <w:style w:type="paragraph" w:customStyle="1" w:styleId="30">
    <w:name w:val="xl7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after="100" w:afterAutospacing="1"/>
      <w:jc w:val="center"/>
    </w:pPr>
    <w:rPr>
      <w:rFonts w:ascii="方正黑体_GBK" w:hAnsi="宋体" w:eastAsia="方正黑体_GBK" w:cs="宋体"/>
      <w:sz w:val="18"/>
      <w:szCs w:val="18"/>
    </w:rPr>
  </w:style>
  <w:style w:type="paragraph" w:customStyle="1" w:styleId="31">
    <w:name w:val="xl76"/>
    <w:basedOn w:val="1"/>
    <w:uiPriority w:val="0"/>
    <w:pPr>
      <w:adjustRightInd/>
      <w:snapToGrid/>
      <w:spacing w:after="100" w:afterAutospacing="1"/>
    </w:pPr>
    <w:rPr>
      <w:rFonts w:ascii="方正仿宋_GBK" w:hAnsi="宋体" w:eastAsia="方正仿宋_GBK" w:cs="宋体"/>
      <w:sz w:val="24"/>
      <w:szCs w:val="24"/>
    </w:rPr>
  </w:style>
  <w:style w:type="paragraph" w:customStyle="1" w:styleId="32">
    <w:name w:val="xl77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adjustRightInd/>
      <w:snapToGrid/>
      <w:spacing w:after="100" w:afterAutospacing="1"/>
      <w:jc w:val="center"/>
    </w:pPr>
    <w:rPr>
      <w:rFonts w:ascii="方正仿宋_GBK" w:hAnsi="宋体" w:eastAsia="方正仿宋_GBK" w:cs="宋体"/>
      <w:sz w:val="24"/>
      <w:szCs w:val="24"/>
    </w:rPr>
  </w:style>
  <w:style w:type="paragraph" w:customStyle="1" w:styleId="33">
    <w:name w:val="xl78"/>
    <w:basedOn w:val="1"/>
    <w:uiPriority w:val="0"/>
    <w:pPr>
      <w:pBdr>
        <w:left w:val="single" w:color="auto" w:sz="4" w:space="0"/>
        <w:right w:val="single" w:color="auto" w:sz="4" w:space="0"/>
      </w:pBdr>
      <w:adjustRightInd/>
      <w:snapToGrid/>
      <w:spacing w:after="100" w:afterAutospacing="1"/>
      <w:jc w:val="center"/>
    </w:pPr>
    <w:rPr>
      <w:rFonts w:ascii="方正仿宋_GBK" w:hAnsi="宋体" w:eastAsia="方正仿宋_GBK" w:cs="宋体"/>
      <w:sz w:val="24"/>
      <w:szCs w:val="24"/>
    </w:rPr>
  </w:style>
  <w:style w:type="paragraph" w:customStyle="1" w:styleId="34">
    <w:name w:val="xl79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after="100" w:afterAutospacing="1"/>
      <w:jc w:val="center"/>
    </w:pPr>
    <w:rPr>
      <w:rFonts w:ascii="方正仿宋_GBK" w:hAnsi="宋体" w:eastAsia="方正仿宋_GBK" w:cs="宋体"/>
      <w:sz w:val="24"/>
      <w:szCs w:val="24"/>
    </w:rPr>
  </w:style>
  <w:style w:type="paragraph" w:customStyle="1" w:styleId="35">
    <w:name w:val="xl8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after="100" w:afterAutospacing="1"/>
      <w:jc w:val="center"/>
    </w:pPr>
    <w:rPr>
      <w:rFonts w:ascii="方正仿宋_GBK" w:hAnsi="宋体" w:eastAsia="方正仿宋_GBK" w:cs="宋体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fescoadeccochongqing</Company>
  <Pages>8</Pages>
  <Words>729</Words>
  <Characters>4158</Characters>
  <Lines>34</Lines>
  <Paragraphs>9</Paragraphs>
  <TotalTime>11</TotalTime>
  <ScaleCrop>false</ScaleCrop>
  <LinksUpToDate>false</LinksUpToDate>
  <CharactersWithSpaces>4878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2023-08-28T02:43:00Z</dcterms:created>
  <dc:creator>Du, Jiang</dc:creator>
  <cp:lastModifiedBy>silence</cp:lastModifiedBy>
  <cp:lastPrinted>2023-01-10T03:11:00Z</cp:lastPrinted>
  <dcterms:modified xsi:type="dcterms:W3CDTF">2023-08-29T01:27:42Z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85F03BBFB9544C73B3F66AE20BC58E2B_13</vt:lpwstr>
  </property>
</Properties>
</file>