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附件1</w:t>
      </w:r>
    </w:p>
    <w:p>
      <w:pPr>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岗位职责和任职条件</w:t>
      </w:r>
    </w:p>
    <w:bookmarkEnd w:id="0"/>
    <w:tbl>
      <w:tblPr>
        <w:tblStyle w:val="2"/>
        <w:tblW w:w="15330" w:type="dxa"/>
        <w:tblInd w:w="-341" w:type="dxa"/>
        <w:tblLayout w:type="fixed"/>
        <w:tblCellMar>
          <w:top w:w="0" w:type="dxa"/>
          <w:left w:w="108" w:type="dxa"/>
          <w:bottom w:w="0" w:type="dxa"/>
          <w:right w:w="108" w:type="dxa"/>
        </w:tblCellMar>
      </w:tblPr>
      <w:tblGrid>
        <w:gridCol w:w="550"/>
        <w:gridCol w:w="1900"/>
        <w:gridCol w:w="5511"/>
        <w:gridCol w:w="6106"/>
        <w:gridCol w:w="875"/>
        <w:gridCol w:w="388"/>
      </w:tblGrid>
      <w:tr>
        <w:tblPrEx>
          <w:tblCellMar>
            <w:top w:w="0" w:type="dxa"/>
            <w:left w:w="108" w:type="dxa"/>
            <w:bottom w:w="0" w:type="dxa"/>
            <w:right w:w="108" w:type="dxa"/>
          </w:tblCellMar>
        </w:tblPrEx>
        <w:trPr>
          <w:trHeight w:val="755"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序号</w:t>
            </w:r>
          </w:p>
        </w:tc>
        <w:tc>
          <w:tcPr>
            <w:tcW w:w="1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岗位</w:t>
            </w:r>
          </w:p>
        </w:tc>
        <w:tc>
          <w:tcPr>
            <w:tcW w:w="5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岗位职责</w:t>
            </w:r>
          </w:p>
        </w:tc>
        <w:tc>
          <w:tcPr>
            <w:tcW w:w="6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kern w:val="0"/>
                <w:sz w:val="22"/>
                <w:szCs w:val="22"/>
                <w:lang w:bidi="ar"/>
              </w:rPr>
            </w:pPr>
            <w:r>
              <w:rPr>
                <w:rFonts w:hint="eastAsia" w:ascii="宋体" w:hAnsi="宋体" w:eastAsia="宋体" w:cs="宋体"/>
                <w:b/>
                <w:bCs/>
                <w:color w:val="000000"/>
                <w:kern w:val="0"/>
                <w:sz w:val="22"/>
                <w:szCs w:val="22"/>
                <w:lang w:bidi="ar"/>
              </w:rPr>
              <w:t>任职资格</w:t>
            </w:r>
          </w:p>
          <w:p>
            <w:pPr>
              <w:widowControl/>
              <w:jc w:val="center"/>
              <w:textAlignment w:val="center"/>
              <w:rPr>
                <w:rFonts w:ascii="宋体" w:hAnsi="宋体" w:eastAsia="宋体" w:cs="宋体"/>
                <w:b/>
                <w:bCs/>
                <w:color w:val="000000"/>
                <w:sz w:val="22"/>
                <w:szCs w:val="22"/>
              </w:rPr>
            </w:pPr>
            <w:r>
              <w:rPr>
                <w:rFonts w:hint="eastAsia" w:ascii="宋体" w:hAnsi="宋体" w:eastAsia="宋体" w:cs="宋体"/>
                <w:color w:val="000000"/>
                <w:kern w:val="0"/>
                <w:sz w:val="22"/>
                <w:szCs w:val="22"/>
                <w:lang w:bidi="ar"/>
              </w:rPr>
              <w:t>（年限统计截至发布招聘公告当月的最后一个自然日）</w:t>
            </w: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招聘人数</w:t>
            </w:r>
          </w:p>
        </w:tc>
        <w:tc>
          <w:tcPr>
            <w:tcW w:w="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bCs/>
                <w:color w:val="000000"/>
                <w:sz w:val="22"/>
                <w:szCs w:val="22"/>
              </w:rPr>
            </w:pPr>
            <w:r>
              <w:rPr>
                <w:rFonts w:hint="eastAsia" w:ascii="宋体" w:hAnsi="宋体" w:eastAsia="宋体" w:cs="宋体"/>
                <w:b/>
                <w:bCs/>
                <w:color w:val="000000"/>
                <w:kern w:val="0"/>
                <w:sz w:val="22"/>
                <w:szCs w:val="22"/>
                <w:lang w:bidi="ar"/>
              </w:rPr>
              <w:t>备注</w:t>
            </w:r>
          </w:p>
        </w:tc>
      </w:tr>
      <w:tr>
        <w:tblPrEx>
          <w:tblCellMar>
            <w:top w:w="0" w:type="dxa"/>
            <w:left w:w="108" w:type="dxa"/>
            <w:bottom w:w="0" w:type="dxa"/>
            <w:right w:w="108" w:type="dxa"/>
          </w:tblCellMar>
        </w:tblPrEx>
        <w:trPr>
          <w:trHeight w:val="1313"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总法律顾问</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（总经理助理级）</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1.组织制订法治建设、合规管理规划、实施方案；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2.向董事会和企业主要负责人汇报法律合规管理重大事项；</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3.全面负责法律合规管理工作，统一协调处理公司决策、经营和管理中的法律合规事务；</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4.列席党委会、董事会参与研究讨论或审议涉及法律合规相关议题，参加总经理办公会等重要决策会议，参与企业重大经营决策，保证决策的合法合规性，并对相关法律合规风险提出防范意见；</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5.参与公司重要规章制度的制定和实施，建立健全并领导法治机构开展工作；</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6.负责公司的法治宣传教育和培训工作，组织建立法治人才业务培训制度；</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7.对公司本部及所属单位违反法律、法规的行为提出纠正意见，监督或者协助有关部门予以整改；</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8.指导公司法律、合规管理工作，对下属单位法务管理人员的任免提出建议；</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9.其它应当由总法律顾问履行的职责。</w:t>
            </w:r>
          </w:p>
        </w:tc>
        <w:tc>
          <w:tcPr>
            <w:tcW w:w="61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1.年龄为</w:t>
            </w:r>
            <w:r>
              <w:rPr>
                <w:rFonts w:ascii="宋体" w:hAnsi="宋体" w:eastAsia="宋体" w:cs="宋体"/>
                <w:color w:val="000000"/>
                <w:kern w:val="0"/>
                <w:sz w:val="22"/>
                <w:szCs w:val="22"/>
                <w:lang w:bidi="ar"/>
              </w:rPr>
              <w:t>50</w:t>
            </w:r>
            <w:r>
              <w:rPr>
                <w:rFonts w:hint="eastAsia" w:ascii="宋体" w:hAnsi="宋体" w:eastAsia="宋体" w:cs="宋体"/>
                <w:color w:val="000000"/>
                <w:kern w:val="0"/>
                <w:sz w:val="22"/>
                <w:szCs w:val="22"/>
                <w:lang w:bidi="ar"/>
              </w:rPr>
              <w:t>周岁及以下，具有法学、法律等相关专业全日制大学本科及以上学历；</w:t>
            </w:r>
          </w:p>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2.具有国家法律职业资格、公司律师资格、企业法律顾问职业岗位资格等法律相关资格资质，熟悉法律和合规管理业务，具有处理复杂或者疑难法律合规事务的工作经验和能力；</w:t>
            </w:r>
          </w:p>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3.熟悉企业经营管理，具有较高的政策理论水平和较强的组织协调能力；</w:t>
            </w:r>
          </w:p>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4.系统内应聘人员应具有担任相当于集团公司总部处长、高级主管（或二级单位部门正职、总监）职务2年及以上，任职不足2年的，应具有担任相当于总部副处长、主管（或二级单位部门副职、副总监）及以上职务累计5年以上任职经历。</w:t>
            </w:r>
          </w:p>
          <w:p>
            <w:pPr>
              <w:widowControl/>
              <w:jc w:val="left"/>
              <w:textAlignment w:val="center"/>
              <w:rPr>
                <w:rFonts w:ascii="宋体" w:hAnsi="宋体" w:eastAsia="宋体" w:cs="宋体"/>
                <w:color w:val="000000"/>
                <w:kern w:val="0"/>
                <w:sz w:val="22"/>
                <w:szCs w:val="22"/>
                <w:lang w:bidi="ar"/>
              </w:rPr>
            </w:pPr>
            <w:r>
              <w:rPr>
                <w:rFonts w:ascii="宋体" w:hAnsi="宋体" w:eastAsia="宋体" w:cs="宋体"/>
                <w:color w:val="000000"/>
                <w:kern w:val="0"/>
                <w:sz w:val="22"/>
                <w:szCs w:val="22"/>
                <w:lang w:bidi="ar"/>
              </w:rPr>
              <w:t>5.</w:t>
            </w:r>
            <w:r>
              <w:rPr>
                <w:rFonts w:hint="eastAsia" w:ascii="宋体" w:hAnsi="宋体" w:eastAsia="宋体" w:cs="宋体"/>
                <w:color w:val="000000"/>
                <w:kern w:val="0"/>
                <w:sz w:val="22"/>
                <w:szCs w:val="22"/>
                <w:lang w:bidi="ar"/>
              </w:rPr>
              <w:t>市场化选聘人员应当具有在国家机关、事业单位、大型企业担任正处级及以上职务2年及以上，任职不足2年的，应具有担任副处级及以上职务累计5年以上任职经历；或具有担任过国有大型企业常年法律顾问10年及以上律师事务所合伙人经历；其他类型企业条件，特别优秀的，可适当放宽条件。</w:t>
            </w:r>
          </w:p>
          <w:p>
            <w:pPr>
              <w:widowControl/>
              <w:jc w:val="left"/>
              <w:textAlignment w:val="center"/>
              <w:rPr>
                <w:rFonts w:ascii="宋体" w:hAnsi="宋体" w:eastAsia="宋体" w:cs="宋体"/>
                <w:color w:val="000000"/>
                <w:sz w:val="22"/>
                <w:szCs w:val="22"/>
              </w:rPr>
            </w:pPr>
            <w:r>
              <w:rPr>
                <w:rFonts w:ascii="宋体" w:hAnsi="宋体" w:eastAsia="宋体" w:cs="宋体"/>
                <w:color w:val="000000"/>
                <w:kern w:val="0"/>
                <w:sz w:val="22"/>
                <w:szCs w:val="22"/>
                <w:lang w:bidi="ar"/>
              </w:rPr>
              <w:t>6.</w:t>
            </w:r>
            <w:r>
              <w:rPr>
                <w:rFonts w:hint="eastAsia" w:ascii="宋体" w:hAnsi="宋体" w:eastAsia="宋体" w:cs="宋体"/>
                <w:color w:val="000000"/>
                <w:kern w:val="0"/>
                <w:sz w:val="22"/>
                <w:szCs w:val="22"/>
                <w:lang w:bidi="ar"/>
              </w:rPr>
              <w:t>具备在公检法系统工作经历的人员，条件特别优秀的，可适当放宽条件。</w:t>
            </w: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3871"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1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人力资源部</w:t>
            </w:r>
          </w:p>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副主任</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xml:space="preserve">1.负责公司人才计划，部署实施招聘、引进工作，落实海内外高层次人才、高端人才的引进工作； </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2.负责制订全公司教育培训规划和年度培训计划，完善教育培训体系，组织开展全公司性的培养与培训工作，并负责指导各部门培训工作；</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3.负责部署和指导全公司员工职业发展体系的建设和管理，组织公司内部人员需求调配；组织开展各类人才职业发展评定聘用； </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4.负责落实政策法规，部署和指导全公司劳动关系管理，规范人事及劳动用工、退职退出工作； </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5.负责涉密岗位、涉密人员归口管理； </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6.协助负责改革工作，协同做好薪酬绩效激励改革工作；</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7.协助负责干部管理工作；</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8.其它应当由人力资源部副主任履行的职责。</w:t>
            </w:r>
          </w:p>
        </w:tc>
        <w:tc>
          <w:tcPr>
            <w:tcW w:w="61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1.年龄为50周岁及以下，具有竞聘岗位相关专业的国内高校授予的大学本科及以上学历学位，学信网可查或中国教育部认可的港澳台或国外高等院校同等学历学位；</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2.具有中级及以上相关专业技术职务资格、具有央国企工作经验者优先；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3.中共党员；</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4.系统内应聘人员应具有担任相当于集团公司副处长（或相当同层级岗位）经历，或在下一层级岗位工作2年以上；</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5.市场化选聘人员一般应有 8 年及以上本专业工作经验，且有突出成果或业绩。</w:t>
            </w: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r>
        <w:tblPrEx>
          <w:tblCellMar>
            <w:top w:w="0" w:type="dxa"/>
            <w:left w:w="108" w:type="dxa"/>
            <w:bottom w:w="0" w:type="dxa"/>
            <w:right w:w="108" w:type="dxa"/>
          </w:tblCellMar>
        </w:tblPrEx>
        <w:trPr>
          <w:trHeight w:val="90" w:hRule="atLeast"/>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3</w:t>
            </w: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计划财务部</w:t>
            </w:r>
          </w:p>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副主任</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1.负责公司年度经营计划、预算管理工作；负责公司月度经营分析工作；</w:t>
            </w:r>
          </w:p>
          <w:p>
            <w:pPr>
              <w:widowControl/>
              <w:jc w:val="left"/>
              <w:textAlignment w:val="center"/>
              <w:rPr>
                <w:rFonts w:ascii="宋体" w:hAnsi="宋体" w:eastAsia="宋体" w:cs="宋体"/>
                <w:color w:val="000000"/>
                <w:kern w:val="0"/>
                <w:sz w:val="22"/>
                <w:szCs w:val="22"/>
                <w:lang w:bidi="ar"/>
              </w:rPr>
            </w:pPr>
            <w:r>
              <w:rPr>
                <w:rFonts w:ascii="宋体" w:hAnsi="宋体" w:eastAsia="宋体" w:cs="宋体"/>
                <w:color w:val="000000"/>
                <w:kern w:val="0"/>
                <w:sz w:val="22"/>
                <w:szCs w:val="22"/>
                <w:lang w:bidi="ar"/>
              </w:rPr>
              <w:t>2.</w:t>
            </w:r>
            <w:r>
              <w:rPr>
                <w:rFonts w:hint="eastAsia" w:ascii="宋体" w:hAnsi="宋体" w:eastAsia="宋体" w:cs="宋体"/>
                <w:color w:val="000000"/>
                <w:kern w:val="0"/>
                <w:sz w:val="22"/>
                <w:szCs w:val="22"/>
                <w:lang w:bidi="ar"/>
              </w:rPr>
              <w:t>负责公司资金计划与资金管理工作；</w:t>
            </w:r>
            <w:r>
              <w:rPr>
                <w:rFonts w:ascii="宋体" w:hAnsi="宋体" w:eastAsia="宋体" w:cs="宋体"/>
                <w:color w:val="000000"/>
                <w:kern w:val="0"/>
                <w:sz w:val="22"/>
                <w:szCs w:val="22"/>
                <w:lang w:bidi="ar"/>
              </w:rPr>
              <w:t xml:space="preserve"> </w:t>
            </w:r>
          </w:p>
          <w:p>
            <w:pPr>
              <w:widowControl/>
              <w:jc w:val="left"/>
              <w:textAlignment w:val="center"/>
              <w:rPr>
                <w:rFonts w:ascii="宋体" w:hAnsi="宋体" w:eastAsia="宋体" w:cs="宋体"/>
                <w:color w:val="000000"/>
                <w:kern w:val="0"/>
                <w:sz w:val="22"/>
                <w:szCs w:val="22"/>
                <w:lang w:bidi="ar"/>
              </w:rPr>
            </w:pPr>
            <w:r>
              <w:rPr>
                <w:rFonts w:ascii="宋体" w:hAnsi="宋体" w:eastAsia="宋体" w:cs="宋体"/>
                <w:color w:val="000000"/>
                <w:kern w:val="0"/>
                <w:sz w:val="22"/>
                <w:szCs w:val="22"/>
                <w:lang w:bidi="ar"/>
              </w:rPr>
              <w:t>3.</w:t>
            </w:r>
            <w:r>
              <w:rPr>
                <w:rFonts w:hint="eastAsia" w:ascii="宋体" w:hAnsi="宋体" w:eastAsia="宋体" w:cs="宋体"/>
                <w:color w:val="000000"/>
                <w:kern w:val="0"/>
                <w:sz w:val="22"/>
                <w:szCs w:val="22"/>
                <w:lang w:bidi="ar"/>
              </w:rPr>
              <w:t>参与公司重大财务决策、投资项目评价，做好风险防控；</w:t>
            </w:r>
          </w:p>
          <w:p>
            <w:pPr>
              <w:widowControl/>
              <w:jc w:val="left"/>
              <w:textAlignment w:val="center"/>
              <w:rPr>
                <w:rFonts w:ascii="宋体" w:hAnsi="宋体" w:eastAsia="宋体" w:cs="宋体"/>
                <w:color w:val="000000"/>
                <w:kern w:val="0"/>
                <w:sz w:val="22"/>
                <w:szCs w:val="22"/>
                <w:lang w:bidi="ar"/>
              </w:rPr>
            </w:pPr>
            <w:r>
              <w:rPr>
                <w:rFonts w:ascii="宋体" w:hAnsi="宋体" w:eastAsia="宋体" w:cs="宋体"/>
                <w:color w:val="000000"/>
                <w:kern w:val="0"/>
                <w:sz w:val="22"/>
                <w:szCs w:val="22"/>
                <w:lang w:bidi="ar"/>
              </w:rPr>
              <w:t>4</w:t>
            </w:r>
            <w:r>
              <w:rPr>
                <w:rFonts w:hint="eastAsia" w:ascii="宋体" w:hAnsi="宋体" w:eastAsia="宋体" w:cs="宋体"/>
                <w:color w:val="000000"/>
                <w:kern w:val="0"/>
                <w:sz w:val="22"/>
                <w:szCs w:val="22"/>
                <w:lang w:bidi="ar"/>
              </w:rPr>
              <w:t>.负责公司产权管理、资产管理和对外投资管理；</w:t>
            </w:r>
          </w:p>
          <w:p>
            <w:pPr>
              <w:widowControl/>
              <w:jc w:val="left"/>
              <w:textAlignment w:val="center"/>
              <w:rPr>
                <w:rFonts w:ascii="宋体" w:hAnsi="宋体" w:eastAsia="宋体" w:cs="宋体"/>
                <w:color w:val="000000"/>
                <w:kern w:val="0"/>
                <w:sz w:val="22"/>
                <w:szCs w:val="22"/>
                <w:lang w:bidi="ar"/>
              </w:rPr>
            </w:pPr>
            <w:r>
              <w:rPr>
                <w:rFonts w:ascii="宋体" w:hAnsi="宋体" w:eastAsia="宋体" w:cs="宋体"/>
                <w:color w:val="000000"/>
                <w:kern w:val="0"/>
                <w:sz w:val="22"/>
                <w:szCs w:val="22"/>
                <w:lang w:bidi="ar"/>
              </w:rPr>
              <w:t>5</w:t>
            </w:r>
            <w:r>
              <w:rPr>
                <w:rFonts w:hint="eastAsia" w:ascii="宋体" w:hAnsi="宋体" w:eastAsia="宋体" w:cs="宋体"/>
                <w:color w:val="000000"/>
                <w:kern w:val="0"/>
                <w:sz w:val="22"/>
                <w:szCs w:val="22"/>
                <w:lang w:bidi="ar"/>
              </w:rPr>
              <w:t>.按照公司战略安排，组织实施公司股权管理工作相关工作；</w:t>
            </w:r>
          </w:p>
          <w:p>
            <w:pPr>
              <w:widowControl/>
              <w:jc w:val="left"/>
              <w:textAlignment w:val="center"/>
              <w:rPr>
                <w:rFonts w:ascii="宋体" w:hAnsi="宋体" w:eastAsia="宋体" w:cs="宋体"/>
                <w:color w:val="000000"/>
                <w:sz w:val="22"/>
                <w:szCs w:val="22"/>
              </w:rPr>
            </w:pPr>
            <w:r>
              <w:rPr>
                <w:rFonts w:ascii="宋体" w:hAnsi="宋体" w:eastAsia="宋体" w:cs="宋体"/>
                <w:color w:val="000000"/>
                <w:kern w:val="0"/>
                <w:sz w:val="22"/>
                <w:szCs w:val="22"/>
                <w:lang w:bidi="ar"/>
              </w:rPr>
              <w:t>6.</w:t>
            </w:r>
            <w:r>
              <w:rPr>
                <w:rFonts w:hint="eastAsia" w:ascii="宋体" w:hAnsi="宋体" w:eastAsia="宋体" w:cs="宋体"/>
                <w:color w:val="000000"/>
                <w:kern w:val="0"/>
                <w:sz w:val="22"/>
                <w:szCs w:val="22"/>
                <w:lang w:bidi="ar"/>
              </w:rPr>
              <w:t>其它应当由计划财务部副主任履行的职责。</w:t>
            </w:r>
          </w:p>
        </w:tc>
        <w:tc>
          <w:tcPr>
            <w:tcW w:w="61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1.年龄为50周岁及以下，具有竞聘岗位相关专业的国内高校授予的大学本科及以上学历学位，学信网可查或中国教育部认可的港澳台或国外高等院校同等学历学位；</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2.具有中级及以上相关专业技术职务资格、具有央国企工作经验者优先；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3.中共党员优先；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4.系统内应聘人员应具有担任相当于集团公司副处长（或相当同层级岗位）经历，或在下一层级岗位工作2年以上；</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5.市场化选聘人员一般应有 8 年及以上本专业工作经验，且有突出成果或业绩。</w:t>
            </w: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2"/>
                <w:szCs w:val="22"/>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0A2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2023-12-19T08:48:56Z</dcterms:created>
  <dc:creator>LBX</dc:creator>
  <cp:lastModifiedBy>小半</cp:lastModifiedBy>
  <dcterms:modified xsi:type="dcterms:W3CDTF">2023-12-19T08:49:18Z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C3E1F1A09AAE4374B11C30CA6B2D564B</vt:lpwstr>
  </property>
</Properties>
</file>