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4" w:lineRule="exact"/>
        <w:ind w:firstLine="640" w:firstLineChars="200"/>
        <w:rPr>
          <w:rFonts w:hint="eastAsia" w:ascii="Times New Roman" w:hAnsi="Times New Roman" w:eastAsia="方正黑体_GBK" w:cs="方正黑体_GBK"/>
          <w:color w:val="auto"/>
          <w:sz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color w:val="auto"/>
          <w:sz w:val="32"/>
          <w:szCs w:val="32"/>
        </w:rPr>
        <w:t>附件</w:t>
      </w:r>
      <w:r>
        <w:rPr>
          <w:rFonts w:hint="eastAsia" w:ascii="Times New Roman" w:hAnsi="Times New Roman" w:eastAsia="方正黑体_GBK" w:cs="方正黑体_GBK"/>
          <w:color w:val="auto"/>
          <w:sz w:val="32"/>
          <w:szCs w:val="32"/>
          <w:lang w:val="en-US" w:eastAsia="zh-CN"/>
        </w:rPr>
        <w:t>1</w:t>
      </w:r>
    </w:p>
    <w:p>
      <w:pPr>
        <w:spacing w:line="594" w:lineRule="exact"/>
        <w:jc w:val="both"/>
        <w:rPr>
          <w:rFonts w:ascii="Times New Roman" w:hAnsi="Times New Roman" w:eastAsia="方正小标宋_GBK"/>
          <w:color w:val="auto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_GBK"/>
          <w:color w:val="auto"/>
          <w:sz w:val="44"/>
          <w:szCs w:val="44"/>
        </w:rPr>
        <w:t>重庆幸福城绿色发展有限公司</w:t>
      </w:r>
      <w:r>
        <w:rPr>
          <w:rFonts w:ascii="Times New Roman" w:hAnsi="Times New Roman" w:eastAsia="方正小标宋_GBK"/>
          <w:color w:val="auto"/>
          <w:sz w:val="44"/>
          <w:szCs w:val="44"/>
        </w:rPr>
        <w:t>202</w:t>
      </w:r>
      <w:r>
        <w:rPr>
          <w:rFonts w:hint="eastAsia" w:ascii="Times New Roman" w:hAnsi="Times New Roman" w:eastAsia="方正小标宋_GBK"/>
          <w:color w:val="auto"/>
          <w:sz w:val="44"/>
          <w:szCs w:val="44"/>
          <w:lang w:val="en-US" w:eastAsia="zh-CN"/>
        </w:rPr>
        <w:t>4年第一季度</w:t>
      </w:r>
      <w:r>
        <w:rPr>
          <w:rFonts w:ascii="Times New Roman" w:hAnsi="Times New Roman" w:eastAsia="方正小标宋_GBK"/>
          <w:color w:val="auto"/>
          <w:sz w:val="44"/>
          <w:szCs w:val="44"/>
        </w:rPr>
        <w:t>公开招聘人员岗位情况表</w:t>
      </w:r>
      <w:bookmarkEnd w:id="0"/>
    </w:p>
    <w:tbl>
      <w:tblPr>
        <w:tblStyle w:val="5"/>
        <w:tblW w:w="1559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9"/>
        <w:gridCol w:w="1461"/>
        <w:gridCol w:w="948"/>
        <w:gridCol w:w="2541"/>
        <w:gridCol w:w="740"/>
        <w:gridCol w:w="1914"/>
        <w:gridCol w:w="1500"/>
        <w:gridCol w:w="500"/>
        <w:gridCol w:w="1986"/>
        <w:gridCol w:w="3128"/>
        <w:gridCol w:w="49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tblHeader/>
          <w:jc w:val="center"/>
        </w:trPr>
        <w:tc>
          <w:tcPr>
            <w:tcW w:w="3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4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kern w:val="0"/>
                <w:sz w:val="24"/>
                <w:szCs w:val="24"/>
                <w:lang w:bidi="ar"/>
              </w:rPr>
              <w:t>招聘</w:t>
            </w:r>
            <w:r>
              <w:rPr>
                <w:rFonts w:hint="eastAsia" w:eastAsia="方正黑体_GBK" w:cs="方正黑体_GBK"/>
                <w:color w:val="auto"/>
                <w:kern w:val="0"/>
                <w:sz w:val="24"/>
                <w:szCs w:val="24"/>
                <w:lang w:val="en-US" w:eastAsia="zh-CN" w:bidi="ar"/>
              </w:rPr>
              <w:t>部门</w:t>
            </w:r>
          </w:p>
        </w:tc>
        <w:tc>
          <w:tcPr>
            <w:tcW w:w="9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kern w:val="0"/>
                <w:sz w:val="24"/>
                <w:szCs w:val="24"/>
                <w:lang w:bidi="ar"/>
              </w:rPr>
              <w:t>岗位</w:t>
            </w:r>
          </w:p>
        </w:tc>
        <w:tc>
          <w:tcPr>
            <w:tcW w:w="254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kern w:val="0"/>
                <w:sz w:val="24"/>
                <w:szCs w:val="24"/>
                <w:lang w:eastAsia="zh-CN" w:bidi="ar"/>
              </w:rPr>
              <w:t>岗位职责</w:t>
            </w:r>
          </w:p>
        </w:tc>
        <w:tc>
          <w:tcPr>
            <w:tcW w:w="7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kern w:val="0"/>
                <w:sz w:val="24"/>
                <w:szCs w:val="24"/>
                <w:lang w:bidi="ar"/>
              </w:rPr>
              <w:t>招聘职数</w:t>
            </w:r>
          </w:p>
        </w:tc>
        <w:tc>
          <w:tcPr>
            <w:tcW w:w="90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kern w:val="0"/>
                <w:sz w:val="24"/>
                <w:szCs w:val="24"/>
                <w:lang w:bidi="ar"/>
              </w:rPr>
              <w:t>岗位要求</w:t>
            </w:r>
          </w:p>
        </w:tc>
        <w:tc>
          <w:tcPr>
            <w:tcW w:w="4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both"/>
              <w:textAlignment w:val="center"/>
              <w:rPr>
                <w:rFonts w:hint="eastAsia" w:ascii="Times New Roman" w:hAnsi="Times New Roman" w:eastAsia="方正黑体_GBK" w:cs="方正黑体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kern w:val="0"/>
                <w:sz w:val="24"/>
                <w:szCs w:val="24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tblHeader/>
          <w:jc w:val="center"/>
        </w:trPr>
        <w:tc>
          <w:tcPr>
            <w:tcW w:w="3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rPr>
                <w:rFonts w:hint="eastAsia" w:ascii="Times New Roman" w:hAnsi="Times New Roman" w:eastAsia="方正黑体_GBK" w:cs="方正黑体_GBK"/>
                <w:color w:val="auto"/>
                <w:sz w:val="24"/>
                <w:szCs w:val="24"/>
              </w:rPr>
            </w:pPr>
          </w:p>
        </w:tc>
        <w:tc>
          <w:tcPr>
            <w:tcW w:w="14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rPr>
                <w:rFonts w:hint="eastAsia" w:ascii="Times New Roman" w:hAnsi="Times New Roman" w:eastAsia="方正黑体_GBK" w:cs="方正黑体_GBK"/>
                <w:color w:val="auto"/>
                <w:sz w:val="24"/>
                <w:szCs w:val="24"/>
              </w:rPr>
            </w:pPr>
          </w:p>
        </w:tc>
        <w:tc>
          <w:tcPr>
            <w:tcW w:w="9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rPr>
                <w:rFonts w:hint="eastAsia" w:ascii="Times New Roman" w:hAnsi="Times New Roman" w:eastAsia="方正黑体_GBK" w:cs="方正黑体_GBK"/>
                <w:color w:val="auto"/>
                <w:sz w:val="24"/>
                <w:szCs w:val="24"/>
              </w:rPr>
            </w:pPr>
          </w:p>
        </w:tc>
        <w:tc>
          <w:tcPr>
            <w:tcW w:w="254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rPr>
                <w:rFonts w:hint="eastAsia" w:ascii="Times New Roman" w:hAnsi="Times New Roman" w:eastAsia="方正黑体_GBK" w:cs="方正黑体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kern w:val="0"/>
                <w:sz w:val="24"/>
                <w:szCs w:val="24"/>
                <w:lang w:bidi="ar"/>
              </w:rPr>
              <w:t>学历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kern w:val="0"/>
                <w:sz w:val="24"/>
                <w:szCs w:val="24"/>
                <w:lang w:bidi="ar"/>
              </w:rPr>
              <w:t>专业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kern w:val="0"/>
                <w:sz w:val="24"/>
                <w:szCs w:val="24"/>
                <w:lang w:bidi="ar"/>
              </w:rPr>
              <w:t>年龄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kern w:val="0"/>
                <w:sz w:val="24"/>
                <w:szCs w:val="24"/>
                <w:lang w:bidi="ar"/>
              </w:rPr>
              <w:t>工作经历</w:t>
            </w:r>
          </w:p>
        </w:tc>
        <w:tc>
          <w:tcPr>
            <w:tcW w:w="312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kern w:val="0"/>
                <w:sz w:val="24"/>
                <w:szCs w:val="24"/>
                <w:lang w:bidi="ar"/>
              </w:rPr>
              <w:t xml:space="preserve"> 其它条件</w:t>
            </w:r>
          </w:p>
        </w:tc>
        <w:tc>
          <w:tcPr>
            <w:tcW w:w="4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rPr>
                <w:rFonts w:hint="eastAsia" w:ascii="Times New Roman" w:hAnsi="Times New Roman" w:eastAsia="方正黑体_GBK" w:cs="方正黑体_GBK"/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7" w:hRule="atLeast"/>
          <w:jc w:val="center"/>
        </w:trPr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146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投资发展部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rPr>
                <w:rFonts w:hint="eastAsia" w:ascii="Times New Roman" w:hAnsi="Times New Roman" w:eastAsia="方正仿宋_GBK" w:cs="方正仿宋_GBK"/>
                <w:lang w:val="en-US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岗位1</w:t>
            </w:r>
          </w:p>
        </w:tc>
        <w:tc>
          <w:tcPr>
            <w:tcW w:w="254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1"/>
                <w:szCs w:val="21"/>
                <w:lang w:val="en-US" w:eastAsia="zh-CN" w:bidi="ar-SA"/>
              </w:rPr>
              <w:t>产品策划/定位/模块筛选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1"/>
                <w:szCs w:val="21"/>
                <w:lang w:val="en-US" w:eastAsia="zh-CN" w:bidi="ar-SA"/>
              </w:rPr>
              <w:t>模型估算/概算/平衡方案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1"/>
                <w:szCs w:val="21"/>
                <w:lang w:val="en-US" w:eastAsia="zh-CN" w:bidi="ar-SA"/>
              </w:rPr>
              <w:t>营销策略/去化/运营模式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1"/>
                <w:szCs w:val="21"/>
                <w:lang w:val="en-US" w:eastAsia="zh-CN" w:bidi="ar-SA"/>
              </w:rPr>
              <w:t>对外合作/招商/蓄客模型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全日制硕士研究生及以上学历</w:t>
            </w: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房地产开发、金融投资等相关</w:t>
            </w: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eastAsia="zh-CN" w:bidi="ar"/>
              </w:rPr>
              <w:t>专业</w:t>
            </w:r>
          </w:p>
        </w:tc>
        <w:tc>
          <w:tcPr>
            <w:tcW w:w="5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bidi="ar"/>
              </w:rPr>
              <w:t>35周</w:t>
            </w:r>
            <w:r>
              <w:rPr>
                <w:rStyle w:val="7"/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bidi="ar"/>
              </w:rPr>
              <w:t>岁以下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bidi="ar"/>
              </w:rPr>
              <w:t>具有</w:t>
            </w: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3年及以上房地产相关领域投资分析、招商引资、资本运作、股权投资等从业经验</w:t>
            </w:r>
          </w:p>
        </w:tc>
        <w:tc>
          <w:tcPr>
            <w:tcW w:w="31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bidi="ar"/>
              </w:rPr>
              <w:t>具备房地产相关领域的投资分析、项目策划、尽职调查等能力，能熟练创建估值模型、预测模型和回报分析，拥有1—2例牵头实施的房地产开发项目经验者优先</w:t>
            </w: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eastAsia="zh-CN" w:bidi="ar"/>
              </w:rPr>
              <w:t>；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leftChars="0" w:firstLine="0" w:firstLineChars="0"/>
              <w:jc w:val="both"/>
              <w:rPr>
                <w:rFonts w:hint="eastAsia" w:ascii="Times New Roman" w:hAnsi="Times New Roman" w:eastAsia="方正仿宋_GBK" w:cs="方正仿宋_GBK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2.拥有牵头、参与、发行、运营房地产REITs的项目经验者优先；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bidi="ar"/>
              </w:rPr>
              <w:t>熟练运用量化分析及统计分析等相关软件，包括但不限于EViews、SPSS、Matlab等，精通Excel的使用</w:t>
            </w: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eastAsia="zh-CN" w:bidi="ar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bidi="ar"/>
              </w:rPr>
              <w:t>.具有缜密的逻辑思维能力和敏锐的市场分析能力，具备团队协作能力和沟通谈判能力，熟悉房地产各类业态产品和定价策略</w:t>
            </w: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eastAsia="zh-CN" w:bidi="ar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5.特别优秀者，可适当放宽条件。</w:t>
            </w: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rPr>
                <w:rFonts w:ascii="Times New Roman" w:hAnsi="Times New Roman" w:eastAsia="方正仿宋_GBK"/>
                <w:color w:val="auto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146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270" w:leftChars="0" w:hanging="270" w:firstLineChars="0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岗位2</w:t>
            </w:r>
          </w:p>
        </w:tc>
        <w:tc>
          <w:tcPr>
            <w:tcW w:w="254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全日制</w:t>
            </w: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bidi="ar"/>
              </w:rPr>
              <w:t>本科及以上学历</w:t>
            </w:r>
          </w:p>
        </w:tc>
        <w:tc>
          <w:tcPr>
            <w:tcW w:w="15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</w:rPr>
            </w:pP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bidi="ar"/>
              </w:rPr>
              <w:t>具有</w:t>
            </w: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5年及以上房地产相关领域投资分析、招商引资、资本运作、股权投资等从业经验</w:t>
            </w:r>
          </w:p>
        </w:tc>
        <w:tc>
          <w:tcPr>
            <w:tcW w:w="31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</w:rPr>
            </w:pP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8" w:hRule="atLeast"/>
          <w:jc w:val="center"/>
        </w:trPr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146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合约风控部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270" w:leftChars="0" w:hanging="270" w:firstLineChars="0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岗位1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270" w:leftChars="0" w:hanging="270" w:firstLineChars="0"/>
              <w:jc w:val="center"/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合约构建与审核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270" w:leftChars="0" w:hanging="270" w:firstLineChars="0"/>
              <w:jc w:val="center"/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法律支持与服务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270" w:leftChars="0" w:hanging="270" w:firstLineChars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风险预警与控制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全日制硕士研究生及以上学历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bidi="ar"/>
              </w:rPr>
              <w:t>法学等相关专业</w:t>
            </w:r>
          </w:p>
        </w:tc>
        <w:tc>
          <w:tcPr>
            <w:tcW w:w="5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bidi="ar"/>
              </w:rPr>
              <w:t>35周</w:t>
            </w:r>
            <w:r>
              <w:rPr>
                <w:rStyle w:val="7"/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bidi="ar"/>
              </w:rPr>
              <w:t>岁以下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bidi="ar"/>
              </w:rPr>
              <w:t>具有</w:t>
            </w: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bidi="ar"/>
              </w:rPr>
              <w:t>年及以上房地产项目</w:t>
            </w: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合约管理、法律支持等相关工作经验</w:t>
            </w:r>
          </w:p>
        </w:tc>
        <w:tc>
          <w:tcPr>
            <w:tcW w:w="3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1"/>
                <w:szCs w:val="21"/>
                <w:lang w:val="en-US" w:eastAsia="zh-CN" w:bidi="ar-SA"/>
              </w:rPr>
              <w:t>1.</w:t>
            </w:r>
            <w:r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  <w:t>拥有法律职业资格证书；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  <w:t>2.熟练掌握政府或者国有企业工作流程的优先；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.特别优秀者，可适当放宽条件。</w:t>
            </w: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rPr>
                <w:rFonts w:ascii="Times New Roman" w:hAnsi="Times New Roman" w:eastAsia="方正仿宋_GBK"/>
                <w:color w:val="auto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3" w:hRule="atLeast"/>
          <w:jc w:val="center"/>
        </w:trPr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auto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46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270" w:leftChars="0" w:hanging="270" w:firstLineChars="0"/>
              <w:jc w:val="center"/>
              <w:rPr>
                <w:rFonts w:hint="default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岗位2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  <w:t>招标监管/前期报建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  <w:t>造价复核/成本控制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全日制</w:t>
            </w: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bidi="ar"/>
              </w:rPr>
              <w:t>本科及以上学历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工程造价</w:t>
            </w: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bidi="ar"/>
              </w:rPr>
              <w:t>等相关专业</w:t>
            </w:r>
          </w:p>
        </w:tc>
        <w:tc>
          <w:tcPr>
            <w:tcW w:w="5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</w:rPr>
            </w:pP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bidi="ar"/>
              </w:rPr>
              <w:t>具有</w:t>
            </w: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bidi="ar"/>
              </w:rPr>
              <w:t>年及以上房地产项目的</w:t>
            </w: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招投标、成本核算</w:t>
            </w: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bidi="ar"/>
              </w:rPr>
              <w:t>等相关工作经验</w:t>
            </w:r>
          </w:p>
        </w:tc>
        <w:tc>
          <w:tcPr>
            <w:tcW w:w="3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lang w:val="en-US" w:eastAsia="zh-CN"/>
              </w:rPr>
              <w:t>1.拥有二级以上（含）造价工程师资格证书；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  <w:t>2.熟练掌握政府或者国有企业工作流程的优先；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方正仿宋_GBK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特别优秀者，可适当放宽条件。</w:t>
            </w: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rPr>
                <w:rFonts w:ascii="Times New Roman" w:hAnsi="Times New Roman" w:eastAsia="方正仿宋_GBK"/>
                <w:color w:val="auto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4" w:hRule="atLeast"/>
          <w:jc w:val="center"/>
        </w:trPr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宋体"/>
                <w:color w:val="auto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146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建设保障部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270" w:leftChars="0" w:hanging="270" w:firstLineChars="0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岗位1</w:t>
            </w:r>
          </w:p>
        </w:tc>
        <w:tc>
          <w:tcPr>
            <w:tcW w:w="254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1"/>
                <w:szCs w:val="21"/>
                <w:lang w:val="en-US" w:eastAsia="zh-CN" w:bidi="ar-SA"/>
              </w:rPr>
              <w:t>施工图纸/方案审查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1"/>
                <w:szCs w:val="21"/>
                <w:lang w:val="en-US" w:eastAsia="zh-CN" w:bidi="ar-SA"/>
              </w:rPr>
              <w:t>施工跟踪/过程监督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1"/>
                <w:szCs w:val="21"/>
                <w:lang w:val="en-US" w:eastAsia="zh-CN" w:bidi="ar-SA"/>
              </w:rPr>
              <w:t>安全管护/建设风控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全日制硕士研究生及以上学历</w:t>
            </w: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建筑工程</w:t>
            </w: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bidi="ar"/>
              </w:rPr>
              <w:t>类等相关专业</w:t>
            </w:r>
          </w:p>
        </w:tc>
        <w:tc>
          <w:tcPr>
            <w:tcW w:w="5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bidi="ar"/>
              </w:rPr>
              <w:t>35周</w:t>
            </w:r>
            <w:r>
              <w:rPr>
                <w:rStyle w:val="7"/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bidi="ar"/>
              </w:rPr>
              <w:t>岁以下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bidi="ar"/>
              </w:rPr>
              <w:t>具有</w:t>
            </w: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bidi="ar"/>
              </w:rPr>
              <w:t>年及以上房地产开发或施工经验</w:t>
            </w:r>
          </w:p>
        </w:tc>
        <w:tc>
          <w:tcPr>
            <w:tcW w:w="31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1.拥有中级工程师或以上职称；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bidi="ar"/>
              </w:rPr>
              <w:t>熟悉房地产开发或建筑项目施工流程，具有独立的分析和解决问题的能力；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3.熟练掌握政府或者国有企业工作流程的优先，拥有政府投资项目管理经验者优先；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4.特别优秀者，可适当放宽条件。</w:t>
            </w: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rPr>
                <w:rFonts w:ascii="Times New Roman" w:hAnsi="Times New Roman" w:eastAsia="方正仿宋_GBK"/>
                <w:color w:val="auto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7" w:hRule="atLeast"/>
          <w:jc w:val="center"/>
        </w:trPr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cs="宋体"/>
                <w:color w:val="auto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1461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270" w:leftChars="0" w:hanging="270" w:firstLineChars="0"/>
              <w:jc w:val="center"/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岗位2</w:t>
            </w:r>
          </w:p>
        </w:tc>
        <w:tc>
          <w:tcPr>
            <w:tcW w:w="254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全日制</w:t>
            </w: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bidi="ar"/>
              </w:rPr>
              <w:t>本科及以上学历</w:t>
            </w:r>
          </w:p>
        </w:tc>
        <w:tc>
          <w:tcPr>
            <w:tcW w:w="15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bidi="ar"/>
              </w:rPr>
              <w:t>具有5年及以上房地产开发或施工经验</w:t>
            </w:r>
          </w:p>
        </w:tc>
        <w:tc>
          <w:tcPr>
            <w:tcW w:w="31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leftChars="0" w:firstLine="0" w:firstLineChars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rPr>
                <w:rFonts w:ascii="Times New Roman" w:hAnsi="Times New Roman" w:eastAsia="方正仿宋_GBK"/>
                <w:color w:val="auto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4" w:hRule="atLeast"/>
          <w:jc w:val="center"/>
        </w:trPr>
        <w:tc>
          <w:tcPr>
            <w:tcW w:w="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cs="宋体"/>
                <w:color w:val="auto"/>
                <w:kern w:val="0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146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营销管理部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270" w:leftChars="0" w:hanging="270" w:firstLineChars="0"/>
              <w:jc w:val="both"/>
              <w:rPr>
                <w:rFonts w:hint="default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-SA"/>
              </w:rPr>
              <w:t>营销岗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kern w:val="2"/>
                <w:sz w:val="21"/>
                <w:lang w:val="en-US" w:eastAsia="zh-CN" w:bidi="ar-SA"/>
              </w:rPr>
              <w:t>销售控盘/物业协同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kern w:val="2"/>
                <w:sz w:val="21"/>
                <w:lang w:val="en-US" w:eastAsia="zh-CN" w:bidi="ar-SA"/>
              </w:rPr>
              <w:t>业主管理/资产管理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全日制</w:t>
            </w: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bidi="ar"/>
              </w:rPr>
              <w:t>本科及以上学历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市场营销、经济管理、物业管理等相关专业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bidi="ar"/>
              </w:rPr>
              <w:t>35周</w:t>
            </w:r>
            <w:r>
              <w:rPr>
                <w:rStyle w:val="7"/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bidi="ar"/>
              </w:rPr>
              <w:t>岁以下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bidi="ar"/>
              </w:rPr>
              <w:t>具有5年及以上房地产项目</w:t>
            </w: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营销管理</w:t>
            </w: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bidi="ar"/>
              </w:rPr>
              <w:t>等相关工作经验</w:t>
            </w:r>
          </w:p>
        </w:tc>
        <w:tc>
          <w:tcPr>
            <w:tcW w:w="3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1.具备渠道营销能力和市场推广能力，能独立自主策划、并负责实施业务推广、资源协调、客户服务等工作；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leftChars="0" w:firstLine="0" w:firstLineChars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>2.特别优秀者，可适当放宽条件。</w:t>
            </w: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center"/>
              <w:rPr>
                <w:rFonts w:ascii="Times New Roman" w:hAnsi="Times New Roman" w:eastAsia="方正仿宋_GBK"/>
                <w:color w:val="auto"/>
                <w:sz w:val="32"/>
                <w:szCs w:val="32"/>
              </w:rPr>
            </w:pPr>
          </w:p>
        </w:tc>
      </w:tr>
    </w:tbl>
    <w:p>
      <w:pPr>
        <w:tabs>
          <w:tab w:val="left" w:pos="1650"/>
        </w:tabs>
        <w:bidi w:val="0"/>
        <w:jc w:val="left"/>
        <w:rPr>
          <w:lang w:val="en-US" w:eastAsia="zh-CN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00918483-36E9-4D61-91E2-AB26C13AA27B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6C74872B-1B93-4674-ACF1-DC8118957A32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3" w:fontKey="{41ADF3BA-13C3-4FC6-A9CB-6B893FD0E411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BE75D7BF-2300-4918-960B-699CC1BD69D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420" w:leftChars="200" w:right="420" w:rightChars="200"/>
                            <w:jc w:val="right"/>
                            <w:textAlignment w:val="auto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asciiTheme="minorEastAsia" w:hAnsiTheme="minorEastAsia"/>
                                <w:sz w:val="28"/>
                                <w:szCs w:val="28"/>
                              </w:rPr>
                              <w:id w:val="-1924791227"/>
                            </w:sdtPr>
                            <w:sdtEndPr>
                              <w:rPr>
                                <w:rFonts w:asciiTheme="minorEastAsia" w:hAnsiTheme="minorEastAsia"/>
                                <w:sz w:val="28"/>
                                <w:szCs w:val="28"/>
                              </w:rPr>
                            </w:sdtEndPr>
                            <w:sdtContent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  <w:lang w:val="zh-CN"/>
                                </w:rPr>
                                <w:t>4</w:t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  <w:r>
                                <w:rPr>
                                  <w:rFonts w:hint="eastAsia" w:asciiTheme="minorEastAsia" w:hAnsiTheme="minorEastAsia"/>
                                  <w:sz w:val="28"/>
                                  <w:szCs w:val="28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Theme="minorEastAsia" w:hAnsiTheme="minorEastAsia"/>
                                  <w:sz w:val="28"/>
                                  <w:szCs w:val="28"/>
                                  <w:lang w:eastAsia="zh-CN"/>
                                </w:rPr>
                                <w:t>—</w:t>
                              </w:r>
                            </w:sdtContent>
                          </w:sdt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qi+sg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420" w:leftChars="200" w:right="420" w:rightChars="200"/>
                      <w:jc w:val="right"/>
                      <w:textAlignment w:val="auto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sdt>
                      <w:sdtPr>
                        <w:rPr>
                          <w:rFonts w:asciiTheme="minorEastAsia" w:hAnsiTheme="minorEastAsia"/>
                          <w:sz w:val="28"/>
                          <w:szCs w:val="28"/>
                        </w:rPr>
                        <w:id w:val="-1924791227"/>
                      </w:sdtPr>
                      <w:sdtEndPr>
                        <w:rPr>
                          <w:rFonts w:asciiTheme="minorEastAsia" w:hAnsiTheme="minorEastAsia"/>
                          <w:sz w:val="28"/>
                          <w:szCs w:val="28"/>
                        </w:rPr>
                      </w:sdtEndPr>
                      <w:sdtContent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  <w:lang w:val="zh-CN"/>
                          </w:rPr>
                          <w:t>4</w:t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fldChar w:fldCharType="end"/>
                        </w:r>
                        <w:r>
                          <w:rPr>
                            <w:rFonts w:hint="eastAsia" w:asciiTheme="minorEastAsia" w:hAnsiTheme="minorEastAsia"/>
                            <w:sz w:val="28"/>
                            <w:szCs w:val="28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Theme="minorEastAsia" w:hAnsiTheme="minorEastAsia"/>
                            <w:sz w:val="28"/>
                            <w:szCs w:val="28"/>
                            <w:lang w:eastAsia="zh-CN"/>
                          </w:rPr>
                          <w:t>—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2ZDM1ZWJiOTJkN2YyYmYwZTdhNjE1ZDI1NmI0ODcifQ=="/>
  </w:docVars>
  <w:rsids>
    <w:rsidRoot w:val="26077ABA"/>
    <w:rsid w:val="26077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autoSpaceDE w:val="0"/>
      <w:autoSpaceDN w:val="0"/>
      <w:adjustRightInd w:val="0"/>
      <w:ind w:left="270" w:hanging="270"/>
      <w:jc w:val="left"/>
      <w:outlineLvl w:val="1"/>
    </w:pPr>
    <w:rPr>
      <w:rFonts w:ascii="Arial" w:hAnsi="Arial"/>
      <w:color w:val="000000"/>
      <w:kern w:val="0"/>
      <w:sz w:val="32"/>
      <w:szCs w:val="32"/>
      <w:lang w:val="zh-CN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7">
    <w:name w:val="font91"/>
    <w:basedOn w:val="6"/>
    <w:autoRedefine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2024-01-17T08:05:00Z</dcterms:created>
  <dc:creator>耶耶耶耶叶 </dc:creator>
  <cp:lastModifiedBy>耶耶耶耶叶 </cp:lastModifiedBy>
  <dcterms:modified xsi:type="dcterms:W3CDTF">2024-01-17T08:08:54Z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A70DC22A3EA148FF8310634D7D5BE405_11</vt:lpwstr>
  </property>
</Properties>
</file>