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left="0" w:leftChars="0" w:firstLine="0" w:firstLineChars="0"/>
        <w:rPr>
          <w:rFonts w:hint="default" w:ascii="Times New Roman" w:hAnsi="Times New Roman" w:eastAsia="方正黑体_GBK" w:cs="Times New Roman"/>
          <w:color w:val="auto"/>
          <w:u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u w:val="none"/>
          <w:lang w:val="en-US" w:eastAsia="zh-CN"/>
        </w:rPr>
        <w:t>附件</w:t>
      </w:r>
    </w:p>
    <w:tbl>
      <w:tblPr>
        <w:tblStyle w:val="3"/>
        <w:tblpPr w:leftFromText="180" w:rightFromText="180" w:vertAnchor="text" w:horzAnchor="page" w:tblpX="1302" w:tblpY="518"/>
        <w:tblOverlap w:val="never"/>
        <w:tblW w:w="146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08"/>
        <w:gridCol w:w="893"/>
        <w:gridCol w:w="709"/>
        <w:gridCol w:w="668"/>
        <w:gridCol w:w="2455"/>
        <w:gridCol w:w="1090"/>
        <w:gridCol w:w="1473"/>
        <w:gridCol w:w="3355"/>
        <w:gridCol w:w="1582"/>
        <w:gridCol w:w="5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4624" w:type="dxa"/>
            <w:gridSpan w:val="11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方正小标宋简体" w:cs="Times New Roman"/>
                <w:bCs/>
                <w:color w:val="auto"/>
                <w:kern w:val="0"/>
                <w:sz w:val="28"/>
                <w:szCs w:val="28"/>
                <w:lang w:bidi="ar"/>
              </w:rPr>
              <w:t>四川省科学技术厅所属事业单位2024年公开选调工作人员岗位和条件要求一览表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1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公开选调</w:t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单位全称（类别）</w:t>
            </w:r>
          </w:p>
        </w:tc>
        <w:tc>
          <w:tcPr>
            <w:tcW w:w="7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选调</w:t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岗位</w:t>
            </w:r>
          </w:p>
        </w:tc>
        <w:tc>
          <w:tcPr>
            <w:tcW w:w="8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岗位</w:t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类别</w:t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岗位</w:t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编码</w:t>
            </w:r>
          </w:p>
        </w:tc>
        <w:tc>
          <w:tcPr>
            <w:tcW w:w="6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选调</w:t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名额</w:t>
            </w:r>
          </w:p>
        </w:tc>
        <w:tc>
          <w:tcPr>
            <w:tcW w:w="2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选调</w:t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对象</w:t>
            </w:r>
          </w:p>
        </w:tc>
        <w:tc>
          <w:tcPr>
            <w:tcW w:w="809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报名资格条件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1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</w:p>
        </w:tc>
        <w:tc>
          <w:tcPr>
            <w:tcW w:w="8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</w:p>
        </w:tc>
        <w:tc>
          <w:tcPr>
            <w:tcW w:w="6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</w:p>
        </w:tc>
        <w:tc>
          <w:tcPr>
            <w:tcW w:w="2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年龄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学历学位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专业条件要求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其他要求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</w:trPr>
        <w:tc>
          <w:tcPr>
            <w:tcW w:w="11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bidi="ar"/>
              </w:rPr>
              <w:t>四川省自然资源科学研究院（公益一类）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科技管理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专业技术岗位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01301001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2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川渝两地各级党政群机关公务员、参照公务员法管理人员；川渝两地各级各类型事业单位在编在岗人员；中央在川渝两地单位（包括垂直管理单位、派出单位等）在编在岗机关事业单位人员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198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年5月29日及以后出生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国民教育本科及以上学历，并取得相应学位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本科：会计学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、财务管理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、财政学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、金融学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研究生：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财政学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、金融学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、企业管理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、技术经济及管理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1" w:hRule="atLeast"/>
        </w:trPr>
        <w:tc>
          <w:tcPr>
            <w:tcW w:w="11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科技规划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专业技术岗位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01301002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2</w:t>
            </w:r>
          </w:p>
        </w:tc>
        <w:tc>
          <w:tcPr>
            <w:tcW w:w="2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198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年5月29日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及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以后出生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国民教育本科及以上学历，并取得相应学位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本科：法学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、知识产权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、经济学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、国民经济管理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、环境资源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与发展经济学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研究生：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经济法学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、环境与资源保护法学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、人口资源与环境经济学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、国民经济学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、区域经济学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、产业经济学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、统计学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、数量经济学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具有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川渝地区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各级</w:t>
            </w:r>
            <w:r>
              <w:rPr>
                <w:rFonts w:hint="eastAsia" w:eastAsia="方正仿宋简体" w:cs="Times New Roman"/>
                <w:color w:val="auto"/>
                <w:sz w:val="21"/>
                <w:szCs w:val="21"/>
                <w:lang w:eastAsia="zh-CN"/>
              </w:rPr>
              <w:t>科学技术行政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部门及其所属事业单位工作经历。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黑体简体" w:cs="Times New Roman"/>
                <w:color w:val="auto"/>
                <w:kern w:val="0"/>
                <w:sz w:val="21"/>
                <w:szCs w:val="21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8" w:hRule="atLeast"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bidi="ar"/>
              </w:rPr>
              <w:t>四川省科学技术信息研究所（公益一类）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产业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  <w:t>情报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研究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专业技术岗位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01302003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川渝两地各级党政群机关公务员、参照公务员法管理人员；川渝两地各级各类型事业单位在编在岗人员；中央在川渝两地单位（包括垂直管理单位、派出单位等）在编在岗机关事业单位人员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198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年5月29日及以后出生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国民教育硕士研究生及以上学历，并取得相应学位。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b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  <w:t>研究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  <w:t>生：生物化学与分子生物学专业、生物工程专业、微生物学专业。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具有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川渝地区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各级</w:t>
            </w:r>
            <w:r>
              <w:rPr>
                <w:rFonts w:hint="eastAsia" w:eastAsia="方正仿宋简体" w:cs="Times New Roman"/>
                <w:color w:val="auto"/>
                <w:sz w:val="21"/>
                <w:szCs w:val="21"/>
                <w:lang w:eastAsia="zh-CN"/>
              </w:rPr>
              <w:t>科学技术行政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部门及其所属事业单位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年以上工作经历。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1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1"/>
                <w:szCs w:val="21"/>
                <w:lang w:bidi="ar"/>
              </w:rPr>
              <w:t>四川省分析测试服务中心（公益二类）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财务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专业技术岗位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01303004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24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川渝两地各级党政群机关公务员、参照公务员法管理人员；川渝两地各级各类型事业单位在编在岗人员；中央在川渝两地单位（包括垂直管理单位、派出单位等）在编在岗机关事业单位人员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198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年5月29日及以后出生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国民教育本科及以上学历，并取得相应学位。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  <w:t>本科：会计专业、会计学专业、财务管理专业、审计学专业、财政学专业、税务专业。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val="en-US" w:eastAsia="zh-CN"/>
              </w:rPr>
              <w:t>研究生：会计专业、会计学专业、财务管理专业、财政学专业、金融学专业。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具有中级及以上会计师资格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2.具有3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年以上财务相关工作经历。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11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党建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专业技术岗位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01303005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2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198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年5月29日及以后出生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国民教育本科及以上学历，并取得相应学位。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本科：汉语言文学专业、汉语言专业、哲学专业、政治学与行政学专业、政治学专业。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研究生：语言学及应用语言学专业、汉语言文字学专业、哲学专业、马克思主义哲学专业、中共党史专业。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中共党员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具有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年以上党建、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人事、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纪检等相关工作经历。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11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宣传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专业技术岗位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01303006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24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198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年5月29日及以后出生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国民教育本科及以上学历，并取得相应学位。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本科：传播学专业、新闻学专业、科学教育专业。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研究生：新闻传播学专业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仪器科学与技术专业。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具有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年以上科普、媒体、宣传等相关工作经历。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四川省科学技术研究成果档案馆</w:t>
            </w:r>
            <w:r>
              <w:rPr>
                <w:rFonts w:hint="default" w:ascii="Times New Roman" w:hAnsi="Times New Roman" w:eastAsia="方正仿宋简体" w:cs="Times New Roman"/>
                <w:color w:val="auto"/>
                <w:kern w:val="0"/>
                <w:sz w:val="21"/>
                <w:szCs w:val="21"/>
                <w:lang w:bidi="ar"/>
              </w:rPr>
              <w:t>（公益一类）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财务</w:t>
            </w:r>
          </w:p>
        </w:tc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专业技术岗位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01304007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  <w:t>川渝两地各级党政群机关公务员、参照公务员法管理人员；川渝两地各级各类型事业单位在编在岗人员；中央在川渝两地单位（包括垂直管理单位、派出单位等）在编在岗机关事业单位人员</w:t>
            </w:r>
            <w:r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  <w:lang w:eastAsia="zh-CN"/>
              </w:rPr>
              <w:t>。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1983年5月29日及以后出生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国民教育本科及以上学历，并取得相应学位。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本科：会计专业、会计学专业、财政学专业、财务管理专业。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研究生：会计专业、会计学专业、财政学专业、财务管理专业。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  <w:t>具有中级及以上会计师资格</w:t>
            </w: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  <w:lang w:val="en-US" w:eastAsia="zh-CN"/>
              </w:rPr>
              <w:t>2.当前从事财务工作且有3年以上财务工作经历。</w:t>
            </w:r>
          </w:p>
        </w:tc>
        <w:tc>
          <w:tcPr>
            <w:tcW w:w="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auto"/>
                <w:sz w:val="21"/>
                <w:szCs w:val="21"/>
              </w:rPr>
            </w:pPr>
          </w:p>
        </w:tc>
      </w:tr>
    </w:tbl>
    <w:p>
      <w:pPr>
        <w:rPr>
          <w:rFonts w:hint="default" w:ascii="Times New Roman" w:hAnsi="Times New Roman" w:cs="Times New Roman"/>
          <w:color w:val="auto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rPr>
          <w:rFonts w:hint="default" w:ascii="Times New Roman" w:hAnsi="Times New Roman" w:cs="Times New Roman"/>
          <w:color w:val="auto"/>
          <w:sz w:val="21"/>
          <w:szCs w:val="21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方正楷体简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5C2E2A92"/>
    <w:rsid w:val="5C2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Times New Roman" w:hAnsi="Times New Roman" w:eastAsia="仿宋_GB2312" w:cs="Times New Roman"/>
      <w:color w:val="auto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autoRedefine/>
    <w:qFormat/>
    <w:uiPriority w:val="0"/>
    <w:pPr>
      <w:widowControl w:val="0"/>
      <w:ind w:left="200" w:firstLine="420" w:firstLineChars="200"/>
      <w:jc w:val="both"/>
      <w:textAlignment w:val="baseline"/>
    </w:pPr>
    <w:rPr>
      <w:rFonts w:ascii="仿宋_GB2312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customStyle="1" w:styleId="5">
    <w:name w:val="图表目录1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2024-05-21T07:58:00Z</dcterms:created>
  <dc:creator>Primadonna</dc:creator>
  <cp:lastModifiedBy>Primadonna</cp:lastModifiedBy>
  <dcterms:modified xsi:type="dcterms:W3CDTF">2024-05-21T07:58:37Z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209FF6A5B6C246FEB071589FBE6314EB_11</vt:lpwstr>
  </property>
</Properties>
</file>