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FA90F">
      <w:pPr>
        <w:keepNext w:val="0"/>
        <w:keepLines w:val="0"/>
        <w:widowControl/>
        <w:suppressLineNumbers w:val="0"/>
        <w:jc w:val="center"/>
        <w:rPr>
          <w:rFonts w:hint="eastAsia" w:ascii="宋体" w:hAnsi="宋体" w:eastAsia="宋体" w:cs="宋体"/>
          <w:b/>
          <w:bCs/>
          <w:snapToGrid w:val="0"/>
          <w:color w:val="000000"/>
          <w:spacing w:val="-6"/>
          <w:kern w:val="0"/>
          <w:sz w:val="36"/>
          <w:szCs w:val="36"/>
          <w:lang w:val="en-US" w:eastAsia="zh-CN" w:bidi="ar"/>
        </w:rPr>
      </w:pPr>
      <w:r>
        <w:rPr>
          <w:rFonts w:ascii="Arial" w:hAnsi="Arial" w:eastAsia="宋体" w:cs="Arial"/>
          <w:b/>
          <w:bCs/>
          <w:snapToGrid w:val="0"/>
          <w:color w:val="000000"/>
          <w:spacing w:val="-6"/>
          <w:kern w:val="0"/>
          <w:sz w:val="36"/>
          <w:szCs w:val="36"/>
          <w:lang w:val="en-US" w:eastAsia="zh-CN" w:bidi="ar"/>
        </w:rPr>
        <w:t xml:space="preserve">2024 </w:t>
      </w:r>
      <w:r>
        <w:rPr>
          <w:rFonts w:hint="eastAsia" w:ascii="宋体" w:hAnsi="宋体" w:eastAsia="宋体" w:cs="宋体"/>
          <w:b/>
          <w:bCs/>
          <w:snapToGrid w:val="0"/>
          <w:color w:val="000000"/>
          <w:spacing w:val="-6"/>
          <w:kern w:val="0"/>
          <w:sz w:val="36"/>
          <w:szCs w:val="36"/>
          <w:lang w:val="en-US" w:eastAsia="zh-CN" w:bidi="ar"/>
        </w:rPr>
        <w:t>年</w:t>
      </w:r>
      <w:r>
        <w:rPr>
          <w:rFonts w:hint="eastAsia" w:cs="宋体"/>
          <w:b/>
          <w:bCs/>
          <w:snapToGrid w:val="0"/>
          <w:color w:val="000000"/>
          <w:spacing w:val="-6"/>
          <w:kern w:val="0"/>
          <w:sz w:val="36"/>
          <w:szCs w:val="36"/>
          <w:lang w:val="en-US" w:eastAsia="zh-CN" w:bidi="ar"/>
        </w:rPr>
        <w:t>12月1日</w:t>
      </w:r>
      <w:r>
        <w:rPr>
          <w:rFonts w:hint="eastAsia" w:ascii="宋体" w:hAnsi="宋体" w:eastAsia="宋体" w:cs="宋体"/>
          <w:b/>
          <w:bCs/>
          <w:snapToGrid w:val="0"/>
          <w:color w:val="000000"/>
          <w:spacing w:val="-6"/>
          <w:kern w:val="0"/>
          <w:sz w:val="36"/>
          <w:szCs w:val="36"/>
          <w:lang w:val="en-US" w:eastAsia="zh-CN" w:bidi="ar"/>
        </w:rPr>
        <w:t>国家公务员考试</w:t>
      </w:r>
    </w:p>
    <w:p w14:paraId="2D85FB53">
      <w:pPr>
        <w:keepNext w:val="0"/>
        <w:keepLines w:val="0"/>
        <w:widowControl/>
        <w:suppressLineNumbers w:val="0"/>
        <w:jc w:val="center"/>
        <w:rPr>
          <w:rFonts w:hint="eastAsia" w:ascii="宋体" w:hAnsi="宋体" w:eastAsia="宋体" w:cs="宋体"/>
          <w:b/>
          <w:bCs/>
          <w:snapToGrid w:val="0"/>
          <w:color w:val="000000"/>
          <w:spacing w:val="-6"/>
          <w:kern w:val="0"/>
          <w:sz w:val="36"/>
          <w:szCs w:val="36"/>
          <w:lang w:val="en-US" w:eastAsia="zh-CN" w:bidi="ar"/>
        </w:rPr>
      </w:pPr>
    </w:p>
    <w:p w14:paraId="17479894">
      <w:pPr>
        <w:keepNext w:val="0"/>
        <w:keepLines w:val="0"/>
        <w:widowControl/>
        <w:suppressLineNumbers w:val="0"/>
        <w:jc w:val="center"/>
        <w:rPr>
          <w:rFonts w:hint="default" w:ascii="Arial" w:hAnsi="Arial" w:eastAsia="宋体" w:cs="Arial"/>
          <w:b/>
          <w:bCs/>
          <w:snapToGrid w:val="0"/>
          <w:color w:val="000000"/>
          <w:spacing w:val="-6"/>
          <w:kern w:val="0"/>
          <w:sz w:val="36"/>
          <w:szCs w:val="36"/>
          <w:lang w:val="en-US" w:eastAsia="zh-CN" w:bidi="ar"/>
        </w:rPr>
      </w:pPr>
      <w:r>
        <w:rPr>
          <w:rFonts w:hint="eastAsia" w:ascii="宋体" w:hAnsi="宋体" w:eastAsia="宋体" w:cs="宋体"/>
          <w:b/>
          <w:bCs/>
          <w:snapToGrid w:val="0"/>
          <w:color w:val="000000"/>
          <w:spacing w:val="-6"/>
          <w:kern w:val="0"/>
          <w:sz w:val="36"/>
          <w:szCs w:val="36"/>
          <w:lang w:val="en-US" w:eastAsia="zh-CN" w:bidi="ar"/>
        </w:rPr>
        <w:t>《行政职业能力测验》试卷</w:t>
      </w:r>
      <w:r>
        <w:rPr>
          <w:rFonts w:ascii="Arial" w:hAnsi="Arial" w:eastAsia="宋体" w:cs="Arial"/>
          <w:b/>
          <w:bCs/>
          <w:snapToGrid w:val="0"/>
          <w:color w:val="000000"/>
          <w:spacing w:val="-6"/>
          <w:kern w:val="0"/>
          <w:sz w:val="36"/>
          <w:szCs w:val="36"/>
          <w:lang w:val="en-US" w:eastAsia="zh-CN" w:bidi="ar"/>
        </w:rPr>
        <w:t>(</w:t>
      </w:r>
      <w:r>
        <w:rPr>
          <w:rFonts w:hint="eastAsia" w:ascii="宋体" w:hAnsi="宋体" w:eastAsia="宋体" w:cs="宋体"/>
          <w:b/>
          <w:bCs/>
          <w:snapToGrid w:val="0"/>
          <w:color w:val="000000"/>
          <w:spacing w:val="-6"/>
          <w:kern w:val="0"/>
          <w:sz w:val="36"/>
          <w:szCs w:val="36"/>
          <w:lang w:val="en-US" w:eastAsia="zh-CN" w:bidi="ar"/>
        </w:rPr>
        <w:t>行政执法类</w:t>
      </w:r>
      <w:r>
        <w:rPr>
          <w:rFonts w:hint="default" w:ascii="Arial" w:hAnsi="Arial" w:eastAsia="宋体" w:cs="Arial"/>
          <w:b/>
          <w:bCs/>
          <w:snapToGrid w:val="0"/>
          <w:color w:val="000000"/>
          <w:spacing w:val="-6"/>
          <w:kern w:val="0"/>
          <w:sz w:val="36"/>
          <w:szCs w:val="36"/>
          <w:lang w:val="en-US" w:eastAsia="zh-CN" w:bidi="ar"/>
        </w:rPr>
        <w:t>)</w:t>
      </w:r>
    </w:p>
    <w:p w14:paraId="04E98AE3">
      <w:pPr>
        <w:keepNext w:val="0"/>
        <w:keepLines w:val="0"/>
        <w:widowControl/>
        <w:suppressLineNumbers w:val="0"/>
        <w:jc w:val="center"/>
        <w:rPr>
          <w:rFonts w:hint="default" w:ascii="Arial" w:hAnsi="Arial" w:eastAsia="宋体" w:cs="Arial"/>
          <w:b/>
          <w:bCs/>
          <w:snapToGrid w:val="0"/>
          <w:color w:val="000000"/>
          <w:spacing w:val="-6"/>
          <w:kern w:val="0"/>
          <w:sz w:val="36"/>
          <w:szCs w:val="36"/>
          <w:lang w:val="en-US" w:eastAsia="zh-CN" w:bidi="ar"/>
        </w:rPr>
      </w:pPr>
    </w:p>
    <w:p w14:paraId="620856C1">
      <w:pPr>
        <w:keepNext w:val="0"/>
        <w:keepLines w:val="0"/>
        <w:widowControl/>
        <w:suppressLineNumbers w:val="0"/>
        <w:jc w:val="center"/>
      </w:pPr>
      <w:r>
        <w:rPr>
          <w:rFonts w:hint="eastAsia" w:ascii="宋体" w:hAnsi="宋体" w:eastAsia="宋体" w:cs="宋体"/>
          <w:b/>
          <w:bCs/>
          <w:snapToGrid w:val="0"/>
          <w:color w:val="000000"/>
          <w:spacing w:val="-6"/>
          <w:kern w:val="0"/>
          <w:sz w:val="30"/>
          <w:szCs w:val="30"/>
          <w:lang w:val="en-US" w:eastAsia="zh-CN" w:bidi="ar"/>
        </w:rPr>
        <w:t>第一部分 政治理论</w:t>
      </w:r>
    </w:p>
    <w:p w14:paraId="3E662BD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w:t>
      </w:r>
      <w:r>
        <w:rPr>
          <w:rFonts w:hint="eastAsia" w:ascii="宋体" w:hAnsi="宋体" w:eastAsia="宋体" w:cs="宋体"/>
          <w:snapToGrid w:val="0"/>
          <w:color w:val="000000"/>
          <w:spacing w:val="-6"/>
          <w:kern w:val="0"/>
          <w:sz w:val="20"/>
          <w:szCs w:val="20"/>
          <w:lang w:val="en-US" w:eastAsia="zh-CN" w:bidi="ar"/>
        </w:rPr>
        <w:t xml:space="preserve">习近平总书记指出，马克思主义是为人民立言、为人民代言的理论，是为改变人民命运而创立、在人民求解放的实践中丰富和发展的，人民的创造性实践是马克思主义理论创新的不竭源泉。下列说法与这一论述相符的是： </w:t>
      </w:r>
    </w:p>
    <w:p w14:paraId="45AEECD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①人民不仅是物质财富的创造者，也是精神财富的创造者 </w:t>
      </w:r>
    </w:p>
    <w:p w14:paraId="3E05D75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②要坚持以理论工作者的首创精神为引领，注重从理论创新中总结实践经验 </w:t>
      </w:r>
    </w:p>
    <w:p w14:paraId="745AB06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③无论是毛泽东思想、中国特色社会主义理论体系，还是习近平新时代中国特色社会主义思想，无不源自于人民的智慧、人民的探索、人民的创造 </w:t>
      </w:r>
    </w:p>
    <w:p w14:paraId="6EA34E0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④各级领导干部身处实践最前沿，对实践变化感知最敏感、感受最深切，也最聪慧 </w:t>
      </w:r>
    </w:p>
    <w:p w14:paraId="740FBA1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①② </w:t>
      </w:r>
    </w:p>
    <w:p w14:paraId="40DB635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①③ </w:t>
      </w:r>
    </w:p>
    <w:p w14:paraId="54DA4B0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②④ </w:t>
      </w:r>
    </w:p>
    <w:p w14:paraId="5839889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③④ </w:t>
      </w:r>
    </w:p>
    <w:p w14:paraId="79E6164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3FE0F88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w:t>
      </w:r>
      <w:r>
        <w:rPr>
          <w:rFonts w:hint="eastAsia" w:ascii="宋体" w:hAnsi="宋体" w:eastAsia="宋体" w:cs="宋体"/>
          <w:snapToGrid w:val="0"/>
          <w:color w:val="000000"/>
          <w:spacing w:val="-6"/>
          <w:kern w:val="0"/>
          <w:sz w:val="20"/>
          <w:szCs w:val="20"/>
          <w:lang w:val="en-US" w:eastAsia="zh-CN" w:bidi="ar"/>
        </w:rPr>
        <w:t xml:space="preserve">习近平总书记指出，问题是事物矛盾的表现形式，我们强调增强问题意识、坚持问题导向，就是承认矛盾的普遍性、客观性，就是要善于把认识和化解矛盾作为打开工作局面的突破口。关于矛盾的普遍性、客观性，下列说法正确的是： </w:t>
      </w:r>
    </w:p>
    <w:p w14:paraId="033EB9B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矛盾的普遍性是有条件的，并根据条件的变化而变化 </w:t>
      </w:r>
    </w:p>
    <w:p w14:paraId="7BFEA79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矛盾的客观性从属于主观性，不能脱离人的认知、情感、意志而存在 </w:t>
      </w:r>
    </w:p>
    <w:p w14:paraId="5EDE30E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矛盾的普遍性是矛盾的共性，矛盾的特殊性是矛盾的个性 </w:t>
      </w:r>
    </w:p>
    <w:p w14:paraId="3639FF90">
      <w:pPr>
        <w:keepNext w:val="0"/>
        <w:keepLines w:val="0"/>
        <w:widowControl/>
        <w:suppressLineNumbers w:val="0"/>
        <w:jc w:val="left"/>
        <w:rPr>
          <w:rFonts w:hint="eastAsia" w:ascii="宋体" w:hAnsi="宋体" w:eastAsia="宋体" w:cs="宋体"/>
          <w:snapToGrid w:val="0"/>
          <w:color w:val="000000"/>
          <w:spacing w:val="-6"/>
          <w:kern w:val="0"/>
          <w:sz w:val="20"/>
          <w:szCs w:val="20"/>
          <w:lang w:val="en-US" w:eastAsia="zh-CN" w:bidi="ar"/>
        </w:rPr>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矛盾的普遍性、客观性决定了事物的不同性质，是认清事物本质和发展规律的基础</w:t>
      </w:r>
    </w:p>
    <w:p w14:paraId="0754903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77B9EB0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w:t>
      </w:r>
      <w:r>
        <w:rPr>
          <w:rFonts w:hint="eastAsia" w:ascii="宋体" w:hAnsi="宋体" w:eastAsia="宋体" w:cs="宋体"/>
          <w:snapToGrid w:val="0"/>
          <w:color w:val="000000"/>
          <w:spacing w:val="-6"/>
          <w:kern w:val="0"/>
          <w:sz w:val="20"/>
          <w:szCs w:val="20"/>
          <w:lang w:val="en-US" w:eastAsia="zh-CN" w:bidi="ar"/>
        </w:rPr>
        <w:t xml:space="preserve">关于马克思主义政治经济学，下列说法正确的是： </w:t>
      </w:r>
    </w:p>
    <w:p w14:paraId="4235E6A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商品的价值量是由生产该商品所需的个别劳动时间决定的</w:t>
      </w:r>
    </w:p>
    <w:p w14:paraId="0C1BABC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货币的价值尺度职能是通过实际的物质交换来实现的 </w:t>
      </w:r>
    </w:p>
    <w:p w14:paraId="2550931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具体劳动和抽象劳动是不同商品生茶过程中的不同劳动 </w:t>
      </w:r>
    </w:p>
    <w:p w14:paraId="1698F2A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具体劳动创造商品的使用价值，抽象劳动形成商品的价值 </w:t>
      </w:r>
    </w:p>
    <w:p w14:paraId="4869B43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0B7723D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w:t>
      </w:r>
      <w:r>
        <w:rPr>
          <w:rFonts w:hint="eastAsia" w:ascii="宋体" w:hAnsi="宋体" w:eastAsia="宋体" w:cs="宋体"/>
          <w:snapToGrid w:val="0"/>
          <w:color w:val="000000"/>
          <w:spacing w:val="-6"/>
          <w:kern w:val="0"/>
          <w:sz w:val="20"/>
          <w:szCs w:val="20"/>
          <w:lang w:val="en-US" w:eastAsia="zh-CN" w:bidi="ar"/>
        </w:rPr>
        <w:t xml:space="preserve">习近平总书记指出：“中国共产党人的理想信念，建立在马克思主义科学真理的基础之上，建立在马克思主义揭示的人类社会发展规律的基础之上，建立在为最广大人民谋利益的崇高价值的基础之上。 我们坚定，是因为我们追求的是真理。我们坚定，是因为我们遵循的是规律。我们坚定，是因为我们代表的是最广大人民根本利益。”这一论述最直接体现了马克思主义的哪一基本观点？ </w:t>
      </w:r>
    </w:p>
    <w:p w14:paraId="1C7C367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真理尺度与价值尺度的辩证统一 </w:t>
      </w:r>
    </w:p>
    <w:p w14:paraId="7B0A4B3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认识世界与改造世界的辩证统一 </w:t>
      </w:r>
    </w:p>
    <w:p w14:paraId="1EBC1A1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量变与质变的辩证统一 </w:t>
      </w:r>
    </w:p>
    <w:p w14:paraId="35FBE63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矛盾的特殊性与普遍性的辩证统一 </w:t>
      </w:r>
    </w:p>
    <w:p w14:paraId="48E7630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777A563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w:t>
      </w:r>
      <w:r>
        <w:rPr>
          <w:rFonts w:hint="eastAsia" w:ascii="宋体" w:hAnsi="宋体" w:eastAsia="宋体" w:cs="宋体"/>
          <w:snapToGrid w:val="0"/>
          <w:color w:val="000000"/>
          <w:spacing w:val="-6"/>
          <w:kern w:val="0"/>
          <w:sz w:val="20"/>
          <w:szCs w:val="20"/>
          <w:lang w:val="en-US" w:eastAsia="zh-CN" w:bidi="ar"/>
        </w:rPr>
        <w:t xml:space="preserve">高质量发展是全面建设社会主义现代化国家的首要任务，金融要为经济社会发展提供高质量服务，下列与之相关的的表述不准确的是： </w:t>
      </w:r>
    </w:p>
    <w:p w14:paraId="7C344F5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优化资金供给结构，把更多金融资源用于促进科技创新、绿色发展、传统制造和国有企业 </w:t>
      </w:r>
    </w:p>
    <w:p w14:paraId="6471259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要着力营造良好的货币金融环境，切实加强对重大战略、重点领域和薄弱环节的优质金融服务 </w:t>
      </w:r>
    </w:p>
    <w:p w14:paraId="152921B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始终保持货币政策的稳健性，更加注重做好跨周期和逆周期调节，充实货币政策工具箱 </w:t>
      </w:r>
    </w:p>
    <w:p w14:paraId="29D6343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完善机构定位，支持国有大型金融机构做优做强，当好服务实体经济的主力军和维护金融稳定的压舱石 </w:t>
      </w:r>
    </w:p>
    <w:p w14:paraId="687EE01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1F86545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w:t>
      </w:r>
      <w:r>
        <w:rPr>
          <w:rFonts w:hint="eastAsia" w:ascii="宋体" w:hAnsi="宋体" w:eastAsia="宋体" w:cs="宋体"/>
          <w:snapToGrid w:val="0"/>
          <w:color w:val="000000"/>
          <w:spacing w:val="-6"/>
          <w:kern w:val="0"/>
          <w:sz w:val="20"/>
          <w:szCs w:val="20"/>
          <w:lang w:val="en-US" w:eastAsia="zh-CN" w:bidi="ar"/>
        </w:rPr>
        <w:t xml:space="preserve">习近平总书强调，粮食安全是“国之大者”。下列保障粮食安全的举措正确的有几项？ </w:t>
      </w:r>
    </w:p>
    <w:p w14:paraId="5EA138C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①全面落实粮食安全党政同责，坚持稳面积、增单产两手发力 </w:t>
      </w:r>
    </w:p>
    <w:p w14:paraId="7CE882C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②树立大农业观、大食物观，农林牧渔并举，构建多元化食物供给体系 </w:t>
      </w:r>
    </w:p>
    <w:p w14:paraId="68D9308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③加大高标准农田建设投入和管护力度，确保耕地数量有保障、质量有提升</w:t>
      </w:r>
    </w:p>
    <w:p w14:paraId="1195614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④扩大粮食领域高水平对外开放，逐步加大国外优质种业资源和海外粮食产品在我国市场的占有率 </w:t>
      </w:r>
    </w:p>
    <w:p w14:paraId="7369D46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⑤强化科技和改革双轮驱动，加大核心技术攻关力度 </w:t>
      </w:r>
    </w:p>
    <w:p w14:paraId="1F65D57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A.2 </w:t>
      </w:r>
      <w:r>
        <w:rPr>
          <w:rFonts w:hint="eastAsia" w:ascii="宋体" w:hAnsi="宋体" w:eastAsia="宋体" w:cs="宋体"/>
          <w:snapToGrid w:val="0"/>
          <w:color w:val="000000"/>
          <w:spacing w:val="-6"/>
          <w:kern w:val="0"/>
          <w:sz w:val="20"/>
          <w:szCs w:val="20"/>
          <w:lang w:val="en-US" w:eastAsia="zh-CN" w:bidi="ar"/>
        </w:rPr>
        <w:t xml:space="preserve">项 </w:t>
      </w:r>
    </w:p>
    <w:p w14:paraId="40CE969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B.3 </w:t>
      </w:r>
      <w:r>
        <w:rPr>
          <w:rFonts w:hint="eastAsia" w:ascii="宋体" w:hAnsi="宋体" w:eastAsia="宋体" w:cs="宋体"/>
          <w:snapToGrid w:val="0"/>
          <w:color w:val="000000"/>
          <w:spacing w:val="-6"/>
          <w:kern w:val="0"/>
          <w:sz w:val="20"/>
          <w:szCs w:val="20"/>
          <w:lang w:val="en-US" w:eastAsia="zh-CN" w:bidi="ar"/>
        </w:rPr>
        <w:t xml:space="preserve">项 </w:t>
      </w:r>
    </w:p>
    <w:p w14:paraId="4C821BF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C.4 </w:t>
      </w:r>
      <w:r>
        <w:rPr>
          <w:rFonts w:hint="eastAsia" w:ascii="宋体" w:hAnsi="宋体" w:eastAsia="宋体" w:cs="宋体"/>
          <w:snapToGrid w:val="0"/>
          <w:color w:val="000000"/>
          <w:spacing w:val="-6"/>
          <w:kern w:val="0"/>
          <w:sz w:val="20"/>
          <w:szCs w:val="20"/>
          <w:lang w:val="en-US" w:eastAsia="zh-CN" w:bidi="ar"/>
        </w:rPr>
        <w:t xml:space="preserve">项 </w:t>
      </w:r>
    </w:p>
    <w:p w14:paraId="597BE98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D.5 </w:t>
      </w:r>
      <w:r>
        <w:rPr>
          <w:rFonts w:hint="eastAsia" w:ascii="宋体" w:hAnsi="宋体" w:eastAsia="宋体" w:cs="宋体"/>
          <w:snapToGrid w:val="0"/>
          <w:color w:val="000000"/>
          <w:spacing w:val="-6"/>
          <w:kern w:val="0"/>
          <w:sz w:val="20"/>
          <w:szCs w:val="20"/>
          <w:lang w:val="en-US" w:eastAsia="zh-CN" w:bidi="ar"/>
        </w:rPr>
        <w:t xml:space="preserve">项 </w:t>
      </w:r>
    </w:p>
    <w:p w14:paraId="0EA21B8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0903B46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w:t>
      </w:r>
      <w:r>
        <w:rPr>
          <w:rFonts w:hint="eastAsia" w:ascii="宋体" w:hAnsi="宋体" w:eastAsia="宋体" w:cs="宋体"/>
          <w:snapToGrid w:val="0"/>
          <w:color w:val="000000"/>
          <w:spacing w:val="-6"/>
          <w:kern w:val="0"/>
          <w:sz w:val="20"/>
          <w:szCs w:val="20"/>
          <w:lang w:val="en-US" w:eastAsia="zh-CN" w:bidi="ar"/>
        </w:rPr>
        <w:t xml:space="preserve">习近平总书记强调，要坚定不移贯彻新发展理念，更加自觉地把高质量充分就业作为经济社会发展的优先目标。下列关于高质量充分就业的表述正确的是： </w:t>
      </w:r>
    </w:p>
    <w:p w14:paraId="05CD40A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①全面贯彻劳动者自主就业、政府主导就业、市场促进就业的方针 </w:t>
      </w:r>
    </w:p>
    <w:p w14:paraId="5D09541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②坚持扩大就业容量和提升就业质量相结合 </w:t>
      </w:r>
    </w:p>
    <w:p w14:paraId="4E89F3B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③坚持就业带动创业 </w:t>
      </w:r>
    </w:p>
    <w:p w14:paraId="58D69E0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④加强灵活就业和新就业形态劳动者权益保障，扩大职业伤害保障试点 </w:t>
      </w:r>
    </w:p>
    <w:p w14:paraId="398312D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①② </w:t>
      </w:r>
    </w:p>
    <w:p w14:paraId="14BF139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①③ </w:t>
      </w:r>
    </w:p>
    <w:p w14:paraId="24E2D68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②④ </w:t>
      </w:r>
    </w:p>
    <w:p w14:paraId="3DB5870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③④ </w:t>
      </w:r>
    </w:p>
    <w:p w14:paraId="381F5C1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43196C1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w:t>
      </w:r>
      <w:r>
        <w:rPr>
          <w:rFonts w:hint="eastAsia" w:ascii="宋体" w:hAnsi="宋体" w:eastAsia="宋体" w:cs="宋体"/>
          <w:snapToGrid w:val="0"/>
          <w:color w:val="000000"/>
          <w:spacing w:val="-6"/>
          <w:kern w:val="0"/>
          <w:sz w:val="20"/>
          <w:szCs w:val="20"/>
          <w:lang w:val="en-US" w:eastAsia="zh-CN" w:bidi="ar"/>
        </w:rPr>
        <w:t xml:space="preserve">党的十八大以来，在推进全面从严治党的伟大实践中，我们不断进行实践探索和理论思考，在毛泽东同志当年给出“让人民来监督政府”的第一个答案基础上，给出了第二个答案，那就是不断推进党的自我革命。关于深入推进党的自我革命实践，下列表述不准确的是： </w:t>
      </w:r>
    </w:p>
    <w:p w14:paraId="4FF8573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以引领伟大社会革命为根本目的 </w:t>
      </w:r>
    </w:p>
    <w:p w14:paraId="2959274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以跳出历史周期率为战略目标 </w:t>
      </w:r>
    </w:p>
    <w:p w14:paraId="0CD42B2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以解决大党独有难题为主攻方向 </w:t>
      </w:r>
    </w:p>
    <w:p w14:paraId="224FFF3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以自我监督和法律监督相结合为强大动力 </w:t>
      </w:r>
    </w:p>
    <w:p w14:paraId="568DF3A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71B7855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w:t>
      </w:r>
      <w:r>
        <w:rPr>
          <w:rFonts w:hint="eastAsia" w:ascii="宋体" w:hAnsi="宋体" w:eastAsia="宋体" w:cs="宋体"/>
          <w:snapToGrid w:val="0"/>
          <w:color w:val="000000"/>
          <w:spacing w:val="-6"/>
          <w:kern w:val="0"/>
          <w:sz w:val="20"/>
          <w:szCs w:val="20"/>
          <w:lang w:val="en-US" w:eastAsia="zh-CN" w:bidi="ar"/>
        </w:rPr>
        <w:t>总书记指出，要加强科技基础能力建设，深化科技体制改革，打造科创高地。关于深化科技体制改革，下列表述正确的是：</w:t>
      </w:r>
    </w:p>
    <w:p w14:paraId="19C83FC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建立以竞争性支持取代稳定支持的基础研究投入机制 </w:t>
      </w:r>
    </w:p>
    <w:p w14:paraId="526019D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允许科研类事业单位实行比一般事业单位更灵活的管理制度 </w:t>
      </w:r>
    </w:p>
    <w:p w14:paraId="4EF9FA5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限制开展高风险、高投入基础研究 </w:t>
      </w:r>
    </w:p>
    <w:p w14:paraId="4F81BA6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降低科技人员在科技成果转化收益分配上的自主权 </w:t>
      </w:r>
    </w:p>
    <w:p w14:paraId="7A9D20F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59CC4DF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10. </w:t>
      </w:r>
      <w:r>
        <w:rPr>
          <w:rFonts w:hint="eastAsia" w:ascii="宋体" w:hAnsi="宋体" w:eastAsia="宋体" w:cs="宋体"/>
          <w:snapToGrid w:val="0"/>
          <w:color w:val="000000"/>
          <w:spacing w:val="-6"/>
          <w:kern w:val="0"/>
          <w:sz w:val="20"/>
          <w:szCs w:val="20"/>
          <w:lang w:val="en-US" w:eastAsia="zh-CN" w:bidi="ar"/>
        </w:rPr>
        <w:t xml:space="preserve">完善收入分配制度，构建初次分配、再分配、第三次分配协调配套的制度体系，是进一步全面深化改革的重要任务。 </w:t>
      </w:r>
    </w:p>
    <w:p w14:paraId="37179F4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关于完善收入分配制度， 下列表述不准确的是： </w:t>
      </w:r>
    </w:p>
    <w:p w14:paraId="3CE2613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提高劳动报酬在初次分配中的比重 </w:t>
      </w:r>
    </w:p>
    <w:p w14:paraId="5E4AA70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完善劳动者工资决定、合理增长、支付保障机制，健全按要素分配政策制度 </w:t>
      </w:r>
    </w:p>
    <w:p w14:paraId="259CA20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规范财富积累机制，多渠道增加城乡居民财产性收入 </w:t>
      </w:r>
    </w:p>
    <w:p w14:paraId="6211229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完善税收、社会保障、转移支付等第三次分配调节机制 </w:t>
      </w:r>
    </w:p>
    <w:p w14:paraId="56C75F5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5E5B938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11. </w:t>
      </w:r>
      <w:r>
        <w:rPr>
          <w:rFonts w:hint="eastAsia" w:ascii="宋体" w:hAnsi="宋体" w:eastAsia="宋体" w:cs="宋体"/>
          <w:snapToGrid w:val="0"/>
          <w:color w:val="000000"/>
          <w:spacing w:val="-6"/>
          <w:kern w:val="0"/>
          <w:sz w:val="20"/>
          <w:szCs w:val="20"/>
          <w:lang w:val="en-US" w:eastAsia="zh-CN" w:bidi="ar"/>
        </w:rPr>
        <w:t xml:space="preserve">总书记强调，要牢牢扭任自主创新这个“牛鼻子”。关于自主创新的举措，下列表述正确的有几项？ </w:t>
      </w:r>
    </w:p>
    <w:p w14:paraId="792C2DA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①主动对接国家战略需求，整合和优化科教创新资源 </w:t>
      </w:r>
    </w:p>
    <w:p w14:paraId="0D4D00F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②培育产业园区，加强对口合作，加快科研成果落地转化 </w:t>
      </w:r>
    </w:p>
    <w:p w14:paraId="104183D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③培育新能源、新材料、先进制造、电子信息等战略性新兴产业 </w:t>
      </w:r>
    </w:p>
    <w:p w14:paraId="5CA3EAC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④建设风光火核储一体化能源基地 </w:t>
      </w:r>
    </w:p>
    <w:p w14:paraId="2F1A3B0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⑤逐步弱化央地合作，鼓励各地自主发展新兴产业 </w:t>
      </w:r>
    </w:p>
    <w:p w14:paraId="4E81FDF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A.2 </w:t>
      </w:r>
      <w:r>
        <w:rPr>
          <w:rFonts w:hint="eastAsia" w:ascii="宋体" w:hAnsi="宋体" w:eastAsia="宋体" w:cs="宋体"/>
          <w:snapToGrid w:val="0"/>
          <w:color w:val="000000"/>
          <w:spacing w:val="-6"/>
          <w:kern w:val="0"/>
          <w:sz w:val="20"/>
          <w:szCs w:val="20"/>
          <w:lang w:val="en-US" w:eastAsia="zh-CN" w:bidi="ar"/>
        </w:rPr>
        <w:t xml:space="preserve">项 </w:t>
      </w:r>
    </w:p>
    <w:p w14:paraId="20EF3CF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B.3 </w:t>
      </w:r>
      <w:r>
        <w:rPr>
          <w:rFonts w:hint="eastAsia" w:ascii="宋体" w:hAnsi="宋体" w:eastAsia="宋体" w:cs="宋体"/>
          <w:snapToGrid w:val="0"/>
          <w:color w:val="000000"/>
          <w:spacing w:val="-6"/>
          <w:kern w:val="0"/>
          <w:sz w:val="20"/>
          <w:szCs w:val="20"/>
          <w:lang w:val="en-US" w:eastAsia="zh-CN" w:bidi="ar"/>
        </w:rPr>
        <w:t xml:space="preserve">项 </w:t>
      </w:r>
    </w:p>
    <w:p w14:paraId="13E77BA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C.4 </w:t>
      </w:r>
      <w:r>
        <w:rPr>
          <w:rFonts w:hint="eastAsia" w:ascii="宋体" w:hAnsi="宋体" w:eastAsia="宋体" w:cs="宋体"/>
          <w:snapToGrid w:val="0"/>
          <w:color w:val="000000"/>
          <w:spacing w:val="-6"/>
          <w:kern w:val="0"/>
          <w:sz w:val="20"/>
          <w:szCs w:val="20"/>
          <w:lang w:val="en-US" w:eastAsia="zh-CN" w:bidi="ar"/>
        </w:rPr>
        <w:t xml:space="preserve">项 </w:t>
      </w:r>
    </w:p>
    <w:p w14:paraId="624FCB4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D.5 </w:t>
      </w:r>
      <w:r>
        <w:rPr>
          <w:rFonts w:hint="eastAsia" w:ascii="宋体" w:hAnsi="宋体" w:eastAsia="宋体" w:cs="宋体"/>
          <w:snapToGrid w:val="0"/>
          <w:color w:val="000000"/>
          <w:spacing w:val="-6"/>
          <w:kern w:val="0"/>
          <w:sz w:val="20"/>
          <w:szCs w:val="20"/>
          <w:lang w:val="en-US" w:eastAsia="zh-CN" w:bidi="ar"/>
        </w:rPr>
        <w:t xml:space="preserve">项 </w:t>
      </w:r>
    </w:p>
    <w:p w14:paraId="0612954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365D50E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12.</w:t>
      </w:r>
      <w:r>
        <w:rPr>
          <w:rFonts w:hint="eastAsia" w:ascii="宋体" w:hAnsi="宋体" w:eastAsia="宋体" w:cs="宋体"/>
          <w:snapToGrid w:val="0"/>
          <w:color w:val="000000"/>
          <w:spacing w:val="-6"/>
          <w:kern w:val="0"/>
          <w:sz w:val="20"/>
          <w:szCs w:val="20"/>
          <w:lang w:val="en-US" w:eastAsia="zh-CN" w:bidi="ar"/>
        </w:rPr>
        <w:t xml:space="preserve">党的二十届三中全会提出，要稳步扩大制度型开放。关于稳步扩大制度开放，下列举措不恰当的是： </w:t>
      </w:r>
    </w:p>
    <w:p w14:paraId="68C4F13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独立自主构建不同于国际经贸规则的中国特色经贸规则体系 </w:t>
      </w:r>
    </w:p>
    <w:p w14:paraId="2249EC2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有序扩大我国商品市场、服务市场、资本市场、劳务市场等对外广开放</w:t>
      </w:r>
    </w:p>
    <w:p w14:paraId="5A0CE6E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积极参与全球经济治理体系改革，提供更多全球公共产品 </w:t>
      </w:r>
    </w:p>
    <w:p w14:paraId="03C8B74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扩大对最不发达国家单边开放 </w:t>
      </w:r>
    </w:p>
    <w:p w14:paraId="607B4CF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613392D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13.</w:t>
      </w:r>
      <w:r>
        <w:rPr>
          <w:rFonts w:hint="eastAsia" w:ascii="宋体" w:hAnsi="宋体" w:eastAsia="宋体" w:cs="宋体"/>
          <w:snapToGrid w:val="0"/>
          <w:color w:val="000000"/>
          <w:spacing w:val="-6"/>
          <w:kern w:val="0"/>
          <w:sz w:val="20"/>
          <w:szCs w:val="20"/>
          <w:lang w:val="en-US" w:eastAsia="zh-CN" w:bidi="ar"/>
        </w:rPr>
        <w:t xml:space="preserve">总书记指出，宣传思想文化工作事关党的前途命运，事关国家长治久安，事关民族凝聚力和向心力，是一项极端重要的工作。宣传思想文化工作的首要政治任务是： </w:t>
      </w:r>
    </w:p>
    <w:p w14:paraId="0FABD69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培育和践行社会主义核心价值观 </w:t>
      </w:r>
    </w:p>
    <w:p w14:paraId="6616A28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用党的创新理论武装全党、教育人民 </w:t>
      </w:r>
    </w:p>
    <w:p w14:paraId="18E0D49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提升国家文化软实力和中华文化影响力 </w:t>
      </w:r>
    </w:p>
    <w:p w14:paraId="32D87DA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赓续中华文脉、推动中华优秀传统文化创造性转化和创新性发展 </w:t>
      </w:r>
    </w:p>
    <w:p w14:paraId="625E536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600F11D3">
      <w:pPr>
        <w:keepNext w:val="0"/>
        <w:keepLines w:val="0"/>
        <w:widowControl/>
        <w:numPr>
          <w:ilvl w:val="0"/>
          <w:numId w:val="1"/>
        </w:numPr>
        <w:suppressLineNumbers w:val="0"/>
        <w:jc w:val="left"/>
        <w:rPr>
          <w:rFonts w:hint="eastAsia" w:ascii="宋体" w:hAnsi="宋体" w:eastAsia="宋体" w:cs="宋体"/>
          <w:snapToGrid w:val="0"/>
          <w:color w:val="000000"/>
          <w:spacing w:val="-6"/>
          <w:kern w:val="0"/>
          <w:sz w:val="20"/>
          <w:szCs w:val="20"/>
          <w:lang w:val="en-US" w:eastAsia="zh-CN" w:bidi="ar"/>
        </w:rPr>
      </w:pPr>
      <w:r>
        <w:rPr>
          <w:rFonts w:hint="eastAsia" w:ascii="宋体" w:hAnsi="宋体" w:eastAsia="宋体" w:cs="宋体"/>
          <w:snapToGrid w:val="0"/>
          <w:color w:val="000000"/>
          <w:spacing w:val="-6"/>
          <w:kern w:val="0"/>
          <w:sz w:val="20"/>
          <w:szCs w:val="20"/>
          <w:lang w:val="en-US" w:eastAsia="zh-CN" w:bidi="ar"/>
        </w:rPr>
        <w:t>完善大统战工作格局，是习近平总书记关于做好新时代党的绕一战线工作的重要思想的重要内容，是做好新时代统战工作的重要保障。也是进一步全面深化改革、为推进中国式现代化凝心聚力的重要举措。</w:t>
      </w:r>
    </w:p>
    <w:p w14:paraId="0BAEA1FA">
      <w:pPr>
        <w:keepNext w:val="0"/>
        <w:keepLines w:val="0"/>
        <w:widowControl/>
        <w:numPr>
          <w:numId w:val="0"/>
        </w:numPr>
        <w:suppressLineNumbers w:val="0"/>
        <w:jc w:val="left"/>
      </w:pPr>
      <w:r>
        <w:rPr>
          <w:rFonts w:hint="eastAsia" w:ascii="宋体" w:hAnsi="宋体" w:eastAsia="宋体" w:cs="宋体"/>
          <w:snapToGrid w:val="0"/>
          <w:color w:val="000000"/>
          <w:spacing w:val="-6"/>
          <w:kern w:val="0"/>
          <w:sz w:val="20"/>
          <w:szCs w:val="20"/>
          <w:lang w:val="en-US" w:eastAsia="zh-CN" w:bidi="ar"/>
        </w:rPr>
        <w:t xml:space="preserve">下列各项不属于完善大统战格局措施的是： </w:t>
      </w:r>
    </w:p>
    <w:p w14:paraId="3E5B803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更好发挥党外人士作用，健全党外代表人士队伍建设制度 </w:t>
      </w:r>
    </w:p>
    <w:p w14:paraId="7F36072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制定民族团结进步促进法，健全铸牢中华民族共同体意识制度机制 </w:t>
      </w:r>
    </w:p>
    <w:p w14:paraId="12F0A9E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全面构建亲清政商关系，健全促进非公有制经济健康发展、非公有制经济人士健康成长工作机制 </w:t>
      </w:r>
    </w:p>
    <w:p w14:paraId="012CAEF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健全人大议事规则和论证、评估、评议、听证制度 </w:t>
      </w:r>
    </w:p>
    <w:p w14:paraId="0639FED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153404F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15.</w:t>
      </w:r>
      <w:r>
        <w:rPr>
          <w:rFonts w:hint="eastAsia" w:ascii="宋体" w:hAnsi="宋体" w:eastAsia="宋体" w:cs="宋体"/>
          <w:snapToGrid w:val="0"/>
          <w:color w:val="000000"/>
          <w:spacing w:val="-6"/>
          <w:kern w:val="0"/>
          <w:sz w:val="20"/>
          <w:szCs w:val="20"/>
          <w:lang w:val="en-US" w:eastAsia="zh-CN" w:bidi="ar"/>
        </w:rPr>
        <w:t xml:space="preserve">党的二十届三中全会提出，健全绿色低碳发展机制，实施支持绿色低碳发展的财税、金融、投资、价格政策和标准体系，发展绿色低碳产业，健全绿色消费激励机制，促进绿色低碳循环发展经济体系建设。关于健全绿色低碳发展机制，下列举措不恰当的是： </w:t>
      </w:r>
    </w:p>
    <w:p w14:paraId="40D94C9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优化政府绿色采购政策，完善绿色税制 </w:t>
      </w:r>
    </w:p>
    <w:p w14:paraId="515B10A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建立碳排放双控向能耗双控全面转型新机制 </w:t>
      </w:r>
    </w:p>
    <w:p w14:paraId="0AD79A5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完善资源总量管理和全面节约制度，健全废弃物循环利用体系 </w:t>
      </w:r>
    </w:p>
    <w:p w14:paraId="7DF21ED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加快规划建设新型能源体系，完善新能源消纳和调控政策措施 </w:t>
      </w:r>
    </w:p>
    <w:p w14:paraId="38F60BE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7990A4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16.</w:t>
      </w:r>
      <w:r>
        <w:rPr>
          <w:rFonts w:hint="eastAsia" w:ascii="宋体" w:hAnsi="宋体" w:eastAsia="宋体" w:cs="宋体"/>
          <w:snapToGrid w:val="0"/>
          <w:color w:val="000000"/>
          <w:spacing w:val="-6"/>
          <w:kern w:val="0"/>
          <w:sz w:val="20"/>
          <w:szCs w:val="20"/>
          <w:lang w:val="en-US" w:eastAsia="zh-CN" w:bidi="ar"/>
        </w:rPr>
        <w:t>深化医药卫生体制改革，是进一步全面深化改革的重要任务。关于深化医药卫生体制改革，下列举措不恰当的是：</w:t>
      </w:r>
    </w:p>
    <w:p w14:paraId="2902106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促进优质医疗资源扩容下沉和区域均衡布局 </w:t>
      </w:r>
    </w:p>
    <w:p w14:paraId="6F9C04B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加快建设分级诊疗体系，强化基层医疗卫生服务 </w:t>
      </w:r>
    </w:p>
    <w:p w14:paraId="0C7A1A9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完善公立医院薪酬制度，严格限制、缩减编制数量 </w:t>
      </w:r>
    </w:p>
    <w:p w14:paraId="648073D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促进医疗、医保、医药协同发展和治理 </w:t>
      </w:r>
    </w:p>
    <w:p w14:paraId="02CA91D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7A4FFAA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17.</w:t>
      </w:r>
      <w:r>
        <w:rPr>
          <w:rFonts w:hint="eastAsia" w:ascii="宋体" w:hAnsi="宋体" w:eastAsia="宋体" w:cs="宋体"/>
          <w:snapToGrid w:val="0"/>
          <w:color w:val="000000"/>
          <w:spacing w:val="-6"/>
          <w:kern w:val="0"/>
          <w:sz w:val="20"/>
          <w:szCs w:val="20"/>
          <w:lang w:val="en-US" w:eastAsia="zh-CN" w:bidi="ar"/>
        </w:rPr>
        <w:t xml:space="preserve">完善市场经济基础制度是构建高水平社会主义市场经济体制的重要内容，下列不属于完善市场经济基础制度内容的是： </w:t>
      </w:r>
    </w:p>
    <w:p w14:paraId="49E8E26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完善财政转移支付体系 </w:t>
      </w:r>
    </w:p>
    <w:p w14:paraId="29A78FF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完善市场信息披露制度 </w:t>
      </w:r>
    </w:p>
    <w:p w14:paraId="1921904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完善市场准入制度 </w:t>
      </w:r>
    </w:p>
    <w:p w14:paraId="026FEC1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完善产权制度 </w:t>
      </w:r>
    </w:p>
    <w:p w14:paraId="4A27C2F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3819252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18.</w:t>
      </w:r>
      <w:r>
        <w:rPr>
          <w:rFonts w:hint="eastAsia" w:ascii="宋体" w:hAnsi="宋体" w:eastAsia="宋体" w:cs="宋体"/>
          <w:snapToGrid w:val="0"/>
          <w:color w:val="000000"/>
          <w:spacing w:val="-6"/>
          <w:kern w:val="0"/>
          <w:sz w:val="20"/>
          <w:szCs w:val="20"/>
          <w:lang w:val="en-US" w:eastAsia="zh-CN" w:bidi="ar"/>
        </w:rPr>
        <w:t xml:space="preserve">习近平总书记强调，加强党风廉政建设，一体推进不敢腐、不能腐、不想腐，严格落实中央八项规定精神，督促党员、干部特别是领导干部清廉自守、廉洁从政、干净做事。根据《中国共产党纪律处分条例》，下列违纪情乡属于违反廉洁纪律的是： </w:t>
      </w:r>
    </w:p>
    <w:p w14:paraId="3BE89AB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在重大原原则问题上不同党中央保持一致且有实际言论、行为或者造成不良后果的 </w:t>
      </w:r>
    </w:p>
    <w:p w14:paraId="6B1B996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拒不执行党组织的分配、调动、交流等决定的 </w:t>
      </w:r>
    </w:p>
    <w:p w14:paraId="0772B85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干涉生产经营自主权，致使群众财产遭受较大损失的 </w:t>
      </w:r>
    </w:p>
    <w:p w14:paraId="32EBB93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滥用职权或者职务上的影响操办婚丧喜庆事宜，造成不良影响的 </w:t>
      </w:r>
    </w:p>
    <w:p w14:paraId="5838BA3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2EF6A5D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19.</w:t>
      </w:r>
      <w:r>
        <w:rPr>
          <w:rFonts w:hint="eastAsia" w:ascii="宋体" w:hAnsi="宋体" w:eastAsia="宋体" w:cs="宋体"/>
          <w:snapToGrid w:val="0"/>
          <w:color w:val="000000"/>
          <w:spacing w:val="-6"/>
          <w:kern w:val="0"/>
          <w:sz w:val="20"/>
          <w:szCs w:val="20"/>
          <w:lang w:val="en-US" w:eastAsia="zh-CN" w:bidi="ar"/>
        </w:rPr>
        <w:t xml:space="preserve">习近平总书记指出，要推动各级领导班子认真践行正确政绩观，切实形成正确工作导向。下列表述与正确政绩观要求相符合的是： </w:t>
      </w:r>
    </w:p>
    <w:p w14:paraId="08D2F64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领导干部要树牢竞争优先、力争上游的政绩观 </w:t>
      </w:r>
    </w:p>
    <w:p w14:paraId="19DF5F2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坚持高质量发展，要完善推动高质量发展的政绩考核评价办法 </w:t>
      </w:r>
    </w:p>
    <w:p w14:paraId="37E0B33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坚持打基础利长远，要注重在做强发展指标、做优发展数据上下功夫 </w:t>
      </w:r>
    </w:p>
    <w:p w14:paraId="2026421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坚持出实招求实效，要大力发展高标准、大气派的工程西部地区在全国改革发展稳定大局中举足轻重。要一以贯之抓好党中央推 </w:t>
      </w:r>
    </w:p>
    <w:p w14:paraId="76FAFFB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7252D2A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20.</w:t>
      </w:r>
      <w:r>
        <w:rPr>
          <w:rFonts w:hint="eastAsia" w:ascii="宋体" w:hAnsi="宋体" w:eastAsia="宋体" w:cs="宋体"/>
          <w:snapToGrid w:val="0"/>
          <w:color w:val="000000"/>
          <w:spacing w:val="-6"/>
          <w:kern w:val="0"/>
          <w:sz w:val="20"/>
          <w:szCs w:val="20"/>
          <w:lang w:val="en-US" w:eastAsia="zh-CN" w:bidi="ar"/>
        </w:rPr>
        <w:t xml:space="preserve">动西部大开发政策举措的贯彻落实，进一步形成大保护、太开放、高质量发展新格局。关于新时代推动西部大开发，下列表述不确是： </w:t>
      </w:r>
    </w:p>
    <w:p w14:paraId="6DD3106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要坚持把全面发展新兴产业作为主攻方向，加快西部地区产业转型升级 </w:t>
      </w:r>
    </w:p>
    <w:p w14:paraId="4847325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要坚持以大开放促进大开发，提高西部地区对内对外开放水平 </w:t>
      </w:r>
    </w:p>
    <w:p w14:paraId="21F29B6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要坚持统筹发展和安全，提升能源资源等重点领域安全保障能力 </w:t>
      </w:r>
    </w:p>
    <w:p w14:paraId="4524858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要坚持推进新型城镇化和乡村全面振兴有机结合，在发展中保障和改善民生 </w:t>
      </w:r>
    </w:p>
    <w:p w14:paraId="77C8D44B">
      <w:pPr>
        <w:keepNext w:val="0"/>
        <w:keepLines w:val="0"/>
        <w:widowControl/>
        <w:suppressLineNumbers w:val="0"/>
        <w:jc w:val="left"/>
        <w:rPr>
          <w:rFonts w:hint="default" w:ascii="Times New Roman" w:hAnsi="Times New Roman" w:eastAsia="宋体" w:cs="Times New Roman"/>
          <w:snapToGrid w:val="0"/>
          <w:color w:val="000000"/>
          <w:spacing w:val="-6"/>
          <w:kern w:val="0"/>
          <w:sz w:val="20"/>
          <w:szCs w:val="20"/>
          <w:lang w:val="en-US" w:eastAsia="zh-CN" w:bidi="ar"/>
        </w:rPr>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2356B568">
      <w:pPr>
        <w:keepNext w:val="0"/>
        <w:keepLines w:val="0"/>
        <w:widowControl/>
        <w:suppressLineNumbers w:val="0"/>
        <w:jc w:val="left"/>
        <w:rPr>
          <w:rFonts w:hint="default" w:ascii="Times New Roman" w:hAnsi="Times New Roman" w:eastAsia="宋体" w:cs="Times New Roman"/>
          <w:snapToGrid w:val="0"/>
          <w:color w:val="000000"/>
          <w:spacing w:val="-6"/>
          <w:kern w:val="0"/>
          <w:sz w:val="20"/>
          <w:szCs w:val="20"/>
          <w:lang w:val="en-US" w:eastAsia="zh-CN" w:bidi="ar"/>
        </w:rPr>
      </w:pPr>
    </w:p>
    <w:p w14:paraId="31E28584">
      <w:pPr>
        <w:keepNext w:val="0"/>
        <w:keepLines w:val="0"/>
        <w:widowControl/>
        <w:suppressLineNumbers w:val="0"/>
        <w:jc w:val="left"/>
        <w:rPr>
          <w:rFonts w:hint="default" w:ascii="Times New Roman" w:hAnsi="Times New Roman" w:eastAsia="宋体" w:cs="Times New Roman"/>
          <w:snapToGrid w:val="0"/>
          <w:color w:val="000000"/>
          <w:spacing w:val="-6"/>
          <w:kern w:val="0"/>
          <w:sz w:val="20"/>
          <w:szCs w:val="20"/>
          <w:lang w:val="en-US" w:eastAsia="zh-CN" w:bidi="ar"/>
        </w:rPr>
      </w:pPr>
    </w:p>
    <w:p w14:paraId="053D4B48">
      <w:pPr>
        <w:keepNext w:val="0"/>
        <w:keepLines w:val="0"/>
        <w:widowControl/>
        <w:numPr>
          <w:ilvl w:val="0"/>
          <w:numId w:val="2"/>
        </w:numPr>
        <w:suppressLineNumbers w:val="0"/>
        <w:jc w:val="center"/>
        <w:rPr>
          <w:rFonts w:hint="eastAsia" w:ascii="宋体" w:hAnsi="宋体" w:eastAsia="宋体" w:cs="宋体"/>
          <w:b/>
          <w:bCs/>
          <w:snapToGrid w:val="0"/>
          <w:color w:val="000000"/>
          <w:spacing w:val="-6"/>
          <w:kern w:val="0"/>
          <w:sz w:val="30"/>
          <w:szCs w:val="30"/>
          <w:lang w:val="en-US" w:eastAsia="zh-CN" w:bidi="ar"/>
        </w:rPr>
      </w:pPr>
      <w:r>
        <w:rPr>
          <w:rFonts w:hint="eastAsia" w:ascii="宋体" w:hAnsi="宋体" w:eastAsia="宋体" w:cs="宋体"/>
          <w:b/>
          <w:bCs/>
          <w:snapToGrid w:val="0"/>
          <w:color w:val="000000"/>
          <w:spacing w:val="-6"/>
          <w:kern w:val="0"/>
          <w:sz w:val="30"/>
          <w:szCs w:val="30"/>
          <w:lang w:val="en-US" w:eastAsia="zh-CN" w:bidi="ar"/>
        </w:rPr>
        <w:t>常识判断</w:t>
      </w:r>
    </w:p>
    <w:p w14:paraId="63FA3A45">
      <w:pPr>
        <w:keepNext w:val="0"/>
        <w:keepLines w:val="0"/>
        <w:widowControl/>
        <w:numPr>
          <w:ilvl w:val="0"/>
          <w:numId w:val="0"/>
        </w:numPr>
        <w:suppressLineNumbers w:val="0"/>
        <w:jc w:val="left"/>
        <w:rPr>
          <w:rFonts w:hint="eastAsia" w:ascii="宋体" w:hAnsi="宋体" w:eastAsia="宋体" w:cs="宋体"/>
          <w:b/>
          <w:bCs/>
          <w:snapToGrid w:val="0"/>
          <w:color w:val="000000"/>
          <w:spacing w:val="-6"/>
          <w:kern w:val="0"/>
          <w:sz w:val="30"/>
          <w:szCs w:val="30"/>
          <w:lang w:val="en-US" w:eastAsia="zh-CN" w:bidi="ar"/>
        </w:rPr>
      </w:pPr>
    </w:p>
    <w:p w14:paraId="77CEB865">
      <w:pPr>
        <w:keepNext w:val="0"/>
        <w:keepLines w:val="0"/>
        <w:widowControl/>
        <w:numPr>
          <w:ilvl w:val="0"/>
          <w:numId w:val="0"/>
        </w:numPr>
        <w:suppressLineNumbers w:val="0"/>
        <w:jc w:val="left"/>
      </w:pPr>
      <w:r>
        <w:rPr>
          <w:rFonts w:hint="eastAsia" w:ascii="宋体" w:hAnsi="宋体" w:eastAsia="宋体" w:cs="宋体"/>
          <w:b/>
          <w:bCs/>
          <w:snapToGrid w:val="0"/>
          <w:color w:val="000000"/>
          <w:spacing w:val="-6"/>
          <w:kern w:val="0"/>
          <w:sz w:val="30"/>
          <w:szCs w:val="30"/>
          <w:lang w:val="en-US" w:eastAsia="zh-CN" w:bidi="ar"/>
        </w:rPr>
        <w:t xml:space="preserve"> </w:t>
      </w:r>
    </w:p>
    <w:p w14:paraId="28710AB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根据题目要求，在四个选</w:t>
      </w:r>
      <w:bookmarkStart w:id="0" w:name="_GoBack"/>
      <w:bookmarkEnd w:id="0"/>
      <w:r>
        <w:rPr>
          <w:rFonts w:hint="eastAsia" w:ascii="宋体" w:hAnsi="宋体" w:eastAsia="宋体" w:cs="宋体"/>
          <w:snapToGrid w:val="0"/>
          <w:color w:val="000000"/>
          <w:spacing w:val="-6"/>
          <w:kern w:val="0"/>
          <w:sz w:val="20"/>
          <w:szCs w:val="20"/>
          <w:lang w:val="en-US" w:eastAsia="zh-CN" w:bidi="ar"/>
        </w:rPr>
        <w:t xml:space="preserve">项中选出一个最恰当的答案。请开始答题： </w:t>
      </w:r>
    </w:p>
    <w:p w14:paraId="6946EED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21.</w:t>
      </w:r>
      <w:r>
        <w:rPr>
          <w:rFonts w:hint="eastAsia" w:ascii="宋体" w:hAnsi="宋体" w:eastAsia="宋体" w:cs="宋体"/>
          <w:snapToGrid w:val="0"/>
          <w:color w:val="000000"/>
          <w:spacing w:val="-6"/>
          <w:kern w:val="0"/>
          <w:sz w:val="20"/>
          <w:szCs w:val="20"/>
          <w:lang w:val="en-US" w:eastAsia="zh-CN" w:bidi="ar"/>
        </w:rPr>
        <w:t xml:space="preserve">下列与我国的立法权相关的说法正确的是： </w:t>
      </w:r>
    </w:p>
    <w:p w14:paraId="1F6384A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强制隔离戒毒、冻结存款的行政强制措施只能由法律予以设定 </w:t>
      </w:r>
    </w:p>
    <w:p w14:paraId="5D6C685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全国人民代表大会可授权国务院根据实际需要制定法律 </w:t>
      </w:r>
    </w:p>
    <w:p w14:paraId="402EC5B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法律解释权属于全国人大常委会、最高人民法院及最高人民检察院 </w:t>
      </w:r>
    </w:p>
    <w:p w14:paraId="04673EA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行政法规由国务院及其组成部门、直属机构、办事机构予以制定发布 </w:t>
      </w:r>
    </w:p>
    <w:p w14:paraId="3960C09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7316277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22.</w:t>
      </w:r>
      <w:r>
        <w:rPr>
          <w:rFonts w:hint="eastAsia" w:ascii="宋体" w:hAnsi="宋体" w:eastAsia="宋体" w:cs="宋体"/>
          <w:snapToGrid w:val="0"/>
          <w:color w:val="000000"/>
          <w:spacing w:val="-6"/>
          <w:kern w:val="0"/>
          <w:sz w:val="20"/>
          <w:szCs w:val="20"/>
          <w:lang w:val="en-US" w:eastAsia="zh-CN" w:bidi="ar"/>
        </w:rPr>
        <w:t xml:space="preserve">根据《中华人民共和国食品安全法》，下列情形符合法律规定的是： </w:t>
      </w:r>
    </w:p>
    <w:p w14:paraId="299465B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某食品生产企业自行检验产品后，不再委托专业机构进行检验 </w:t>
      </w:r>
    </w:p>
    <w:p w14:paraId="2E6ECAD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某乳制品生产企业以分装方式生产婴幼儿配方乳粉 </w:t>
      </w:r>
    </w:p>
    <w:p w14:paraId="0360350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某食品安全监督管理部门向食品生产经营者收取检验费 </w:t>
      </w:r>
    </w:p>
    <w:p w14:paraId="421D9E3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某个体工商户仅销售预包装食品，未报食品安全监督管理部门备案 </w:t>
      </w:r>
    </w:p>
    <w:p w14:paraId="2D9A8B0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791A1272">
      <w:pPr>
        <w:keepNext w:val="0"/>
        <w:keepLines w:val="0"/>
        <w:widowControl/>
        <w:suppressLineNumbers w:val="0"/>
        <w:jc w:val="left"/>
        <w:rPr>
          <w:rFonts w:hint="eastAsia" w:ascii="宋体" w:hAnsi="宋体" w:eastAsia="宋体" w:cs="宋体"/>
          <w:snapToGrid w:val="0"/>
          <w:color w:val="000000"/>
          <w:spacing w:val="-6"/>
          <w:kern w:val="0"/>
          <w:sz w:val="20"/>
          <w:szCs w:val="20"/>
          <w:lang w:val="en-US" w:eastAsia="zh-CN" w:bidi="ar"/>
        </w:rPr>
      </w:pPr>
      <w:r>
        <w:rPr>
          <w:rFonts w:hint="default" w:ascii="Times New Roman" w:hAnsi="Times New Roman" w:eastAsia="宋体" w:cs="Times New Roman"/>
          <w:snapToGrid w:val="0"/>
          <w:color w:val="000000"/>
          <w:spacing w:val="-6"/>
          <w:kern w:val="0"/>
          <w:sz w:val="20"/>
          <w:szCs w:val="20"/>
          <w:lang w:val="en-US" w:eastAsia="zh-CN" w:bidi="ar"/>
        </w:rPr>
        <w:t xml:space="preserve">23.2024 </w:t>
      </w:r>
      <w:r>
        <w:rPr>
          <w:rFonts w:hint="eastAsia" w:ascii="宋体" w:hAnsi="宋体" w:eastAsia="宋体" w:cs="宋体"/>
          <w:snapToGrid w:val="0"/>
          <w:color w:val="000000"/>
          <w:spacing w:val="-6"/>
          <w:kern w:val="0"/>
          <w:sz w:val="20"/>
          <w:szCs w:val="20"/>
          <w:lang w:val="en-US" w:eastAsia="zh-CN" w:bidi="ar"/>
        </w:rPr>
        <w:t xml:space="preserve">年 </w:t>
      </w:r>
      <w:r>
        <w:rPr>
          <w:rFonts w:hint="default" w:ascii="Times New Roman" w:hAnsi="Times New Roman" w:eastAsia="宋体" w:cs="Times New Roman"/>
          <w:snapToGrid w:val="0"/>
          <w:color w:val="000000"/>
          <w:spacing w:val="-6"/>
          <w:kern w:val="0"/>
          <w:sz w:val="20"/>
          <w:szCs w:val="20"/>
          <w:lang w:val="en-US" w:eastAsia="zh-CN" w:bidi="ar"/>
        </w:rPr>
        <w:t xml:space="preserve">5 </w:t>
      </w:r>
      <w:r>
        <w:rPr>
          <w:rFonts w:hint="eastAsia" w:ascii="宋体" w:hAnsi="宋体" w:eastAsia="宋体" w:cs="宋体"/>
          <w:snapToGrid w:val="0"/>
          <w:color w:val="000000"/>
          <w:spacing w:val="-6"/>
          <w:kern w:val="0"/>
          <w:sz w:val="20"/>
          <w:szCs w:val="20"/>
          <w:lang w:val="en-US" w:eastAsia="zh-CN" w:bidi="ar"/>
        </w:rPr>
        <w:t xml:space="preserve">月，甲驾驶重型半挂车行驶至某县辖区内被交警临检。该县公安局交警大队认定甲存在驾驶故意污损机动车号牌的机动车在道路行驶的行为，遂当场作出罚款 </w:t>
      </w:r>
      <w:r>
        <w:rPr>
          <w:rFonts w:hint="default" w:ascii="Times New Roman" w:hAnsi="Times New Roman" w:eastAsia="宋体" w:cs="Times New Roman"/>
          <w:snapToGrid w:val="0"/>
          <w:color w:val="000000"/>
          <w:spacing w:val="-6"/>
          <w:kern w:val="0"/>
          <w:sz w:val="20"/>
          <w:szCs w:val="20"/>
          <w:lang w:val="en-US" w:eastAsia="zh-CN" w:bidi="ar"/>
        </w:rPr>
        <w:t>200</w:t>
      </w:r>
      <w:r>
        <w:rPr>
          <w:rFonts w:hint="eastAsia" w:ascii="宋体" w:hAnsi="宋体" w:eastAsia="宋体" w:cs="宋体"/>
          <w:snapToGrid w:val="0"/>
          <w:color w:val="000000"/>
          <w:spacing w:val="-6"/>
          <w:kern w:val="0"/>
          <w:sz w:val="20"/>
          <w:szCs w:val="20"/>
          <w:lang w:val="en-US" w:eastAsia="zh-CN" w:bidi="ar"/>
        </w:rPr>
        <w:t xml:space="preserve">元、记 </w:t>
      </w:r>
      <w:r>
        <w:rPr>
          <w:rFonts w:hint="default" w:ascii="Times New Roman" w:hAnsi="Times New Roman" w:eastAsia="宋体" w:cs="Times New Roman"/>
          <w:snapToGrid w:val="0"/>
          <w:color w:val="000000"/>
          <w:spacing w:val="-6"/>
          <w:kern w:val="0"/>
          <w:sz w:val="20"/>
          <w:szCs w:val="20"/>
          <w:lang w:val="en-US" w:eastAsia="zh-CN" w:bidi="ar"/>
        </w:rPr>
        <w:t xml:space="preserve">9 </w:t>
      </w:r>
      <w:r>
        <w:rPr>
          <w:rFonts w:hint="eastAsia" w:ascii="宋体" w:hAnsi="宋体" w:eastAsia="宋体" w:cs="宋体"/>
          <w:snapToGrid w:val="0"/>
          <w:color w:val="000000"/>
          <w:spacing w:val="-6"/>
          <w:kern w:val="0"/>
          <w:sz w:val="20"/>
          <w:szCs w:val="20"/>
          <w:lang w:val="en-US" w:eastAsia="zh-CN" w:bidi="ar"/>
        </w:rPr>
        <w:t>分的处罚决定。甲认为其不存在故意污损号牌的行为，对处罚决定不服。</w:t>
      </w:r>
    </w:p>
    <w:p w14:paraId="75DF793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下列说法正确的是： </w:t>
      </w:r>
    </w:p>
    <w:p w14:paraId="05B02BA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甲可以不经行政复议，直接向人民法院提起行政诉讼</w:t>
      </w:r>
    </w:p>
    <w:p w14:paraId="04C379C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甲若申请行政复议，复议机关为该县公安局 </w:t>
      </w:r>
    </w:p>
    <w:p w14:paraId="2C57E3E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甲若申请行政复议，不适用简易程序审理 </w:t>
      </w:r>
    </w:p>
    <w:p w14:paraId="464F867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甲若申请行政复议，该案可适用调解 </w:t>
      </w:r>
    </w:p>
    <w:p w14:paraId="70762AB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4E950C7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24.</w:t>
      </w:r>
      <w:r>
        <w:rPr>
          <w:rFonts w:hint="eastAsia" w:ascii="宋体" w:hAnsi="宋体" w:eastAsia="宋体" w:cs="宋体"/>
          <w:snapToGrid w:val="0"/>
          <w:color w:val="000000"/>
          <w:spacing w:val="-6"/>
          <w:kern w:val="0"/>
          <w:sz w:val="20"/>
          <w:szCs w:val="20"/>
          <w:lang w:val="en-US" w:eastAsia="zh-CN" w:bidi="ar"/>
        </w:rPr>
        <w:t xml:space="preserve">虚假诉讼、作伪证是我国重点打击的破坏司法秩序的行为。下列说法错误的是： </w:t>
      </w:r>
    </w:p>
    <w:p w14:paraId="4E5B13B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甲伪造合同向法院起诉，意图获得非法利益，甲可能被罚款、拘留或被追究刑事责任 </w:t>
      </w:r>
    </w:p>
    <w:p w14:paraId="5700339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甲指使乙在一民事案件中作伪证，甲的行为构成妨害作证罪 </w:t>
      </w:r>
    </w:p>
    <w:p w14:paraId="1221596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甲欠乙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万元，因欠条遗失，乙补写欠条并模仿甲的签名后向法院起诉，乙的行为构成虚假诉讼罪 </w:t>
      </w:r>
    </w:p>
    <w:p w14:paraId="107C344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甲为鉴定人，在某刑事案件中故意作虚假鉴定，意图陷害他人，甲的行为构成伪证罪 </w:t>
      </w:r>
    </w:p>
    <w:p w14:paraId="2DA5003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792C7C3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25.</w:t>
      </w:r>
      <w:r>
        <w:rPr>
          <w:rFonts w:hint="eastAsia" w:ascii="宋体" w:hAnsi="宋体" w:eastAsia="宋体" w:cs="宋体"/>
          <w:snapToGrid w:val="0"/>
          <w:color w:val="000000"/>
          <w:spacing w:val="-6"/>
          <w:kern w:val="0"/>
          <w:sz w:val="20"/>
          <w:szCs w:val="20"/>
          <w:lang w:val="en-US" w:eastAsia="zh-CN" w:bidi="ar"/>
        </w:rPr>
        <w:t xml:space="preserve">关于所有权的取得，下列说法正确的是： </w:t>
      </w:r>
    </w:p>
    <w:p w14:paraId="6C34FC5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甲在公园捡到一条金项链，经多方寻找失主未果，此时甲获得项链的所有权 </w:t>
      </w:r>
    </w:p>
    <w:p w14:paraId="5424859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乙以市价购买了一辆自行车，后发现该车是卖家借来的，乙仍可获得该车的所有权 </w:t>
      </w:r>
    </w:p>
    <w:p w14:paraId="538B10F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丙继承了一处房产，但尚未办理变更登记，丙此时还未获得该房产的所有权 </w:t>
      </w:r>
    </w:p>
    <w:p w14:paraId="5AAFFF7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丁从村集体处承包了一块田地用于农作物种植，丁同时取得这块田地的所有权 </w:t>
      </w:r>
    </w:p>
    <w:p w14:paraId="3A0D489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607B844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26.</w:t>
      </w:r>
      <w:r>
        <w:rPr>
          <w:rFonts w:hint="eastAsia" w:ascii="宋体" w:hAnsi="宋体" w:eastAsia="宋体" w:cs="宋体"/>
          <w:snapToGrid w:val="0"/>
          <w:color w:val="000000"/>
          <w:spacing w:val="-6"/>
          <w:kern w:val="0"/>
          <w:sz w:val="20"/>
          <w:szCs w:val="20"/>
          <w:lang w:val="en-US" w:eastAsia="zh-CN" w:bidi="ar"/>
        </w:rPr>
        <w:t xml:space="preserve">《中华人民共和国消费者权益保护法实施条例》自 </w:t>
      </w:r>
      <w:r>
        <w:rPr>
          <w:rFonts w:hint="default" w:ascii="Times New Roman" w:hAnsi="Times New Roman" w:eastAsia="宋体" w:cs="Times New Roman"/>
          <w:snapToGrid w:val="0"/>
          <w:color w:val="000000"/>
          <w:spacing w:val="-6"/>
          <w:kern w:val="0"/>
          <w:sz w:val="20"/>
          <w:szCs w:val="20"/>
          <w:lang w:val="en-US" w:eastAsia="zh-CN" w:bidi="ar"/>
        </w:rPr>
        <w:t xml:space="preserve">2024 </w:t>
      </w:r>
      <w:r>
        <w:rPr>
          <w:rFonts w:hint="eastAsia" w:ascii="宋体" w:hAnsi="宋体" w:eastAsia="宋体" w:cs="宋体"/>
          <w:snapToGrid w:val="0"/>
          <w:color w:val="000000"/>
          <w:spacing w:val="-6"/>
          <w:kern w:val="0"/>
          <w:sz w:val="20"/>
          <w:szCs w:val="20"/>
          <w:lang w:val="en-US" w:eastAsia="zh-CN" w:bidi="ar"/>
        </w:rPr>
        <w:t xml:space="preserve">年 </w:t>
      </w:r>
      <w:r>
        <w:rPr>
          <w:rFonts w:hint="default" w:ascii="Times New Roman" w:hAnsi="Times New Roman" w:eastAsia="宋体" w:cs="Times New Roman"/>
          <w:snapToGrid w:val="0"/>
          <w:color w:val="000000"/>
          <w:spacing w:val="-6"/>
          <w:kern w:val="0"/>
          <w:sz w:val="20"/>
          <w:szCs w:val="20"/>
          <w:lang w:val="en-US" w:eastAsia="zh-CN" w:bidi="ar"/>
        </w:rPr>
        <w:t xml:space="preserve">7 </w:t>
      </w:r>
      <w:r>
        <w:rPr>
          <w:rFonts w:hint="eastAsia" w:ascii="宋体" w:hAnsi="宋体" w:eastAsia="宋体" w:cs="宋体"/>
          <w:snapToGrid w:val="0"/>
          <w:color w:val="000000"/>
          <w:spacing w:val="-6"/>
          <w:kern w:val="0"/>
          <w:sz w:val="20"/>
          <w:szCs w:val="20"/>
          <w:lang w:val="en-US" w:eastAsia="zh-CN" w:bidi="ar"/>
        </w:rPr>
        <w:t xml:space="preserve">月 </w:t>
      </w:r>
      <w:r>
        <w:rPr>
          <w:rFonts w:hint="default" w:ascii="Times New Roman" w:hAnsi="Times New Roman" w:eastAsia="宋体" w:cs="Times New Roman"/>
          <w:snapToGrid w:val="0"/>
          <w:color w:val="000000"/>
          <w:spacing w:val="-6"/>
          <w:kern w:val="0"/>
          <w:sz w:val="20"/>
          <w:szCs w:val="20"/>
          <w:lang w:val="en-US" w:eastAsia="zh-CN" w:bidi="ar"/>
        </w:rPr>
        <w:t xml:space="preserve">1 </w:t>
      </w:r>
      <w:r>
        <w:rPr>
          <w:rFonts w:hint="eastAsia" w:ascii="宋体" w:hAnsi="宋体" w:eastAsia="宋体" w:cs="宋体"/>
          <w:snapToGrid w:val="0"/>
          <w:color w:val="000000"/>
          <w:spacing w:val="-6"/>
          <w:kern w:val="0"/>
          <w:sz w:val="20"/>
          <w:szCs w:val="20"/>
          <w:lang w:val="en-US" w:eastAsia="zh-CN" w:bidi="ar"/>
        </w:rPr>
        <w:t xml:space="preserve">日起施行。下列说法或做法符合相关法律法规的是： </w:t>
      </w:r>
    </w:p>
    <w:p w14:paraId="1653075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甲公司在消费者订购云服务前将自动续费条款放置于显著位置，消费者同意订购并勾选自动续费，甲公司可在该服务到期时自动扣费 </w:t>
      </w:r>
    </w:p>
    <w:p w14:paraId="6A45719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乙加油站为消费者提供免费洗车服务时造成车身划痕，该加油站无需承担赔偿责任 </w:t>
      </w:r>
    </w:p>
    <w:p w14:paraId="1DC33A1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丙在某直播平台上直播卖服装，称自己的服装为尾货和瑕疵品，要求大家谨慎购买。该商品不适用七天无理由退货 </w:t>
      </w:r>
    </w:p>
    <w:p w14:paraId="55DFF0A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丁健身馆与消费者签订书面合同，约定提供为期半年的健身私教课程服务并收取 </w:t>
      </w:r>
    </w:p>
    <w:p w14:paraId="1C31190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3000 </w:t>
      </w:r>
      <w:r>
        <w:rPr>
          <w:rFonts w:hint="eastAsia" w:ascii="宋体" w:hAnsi="宋体" w:eastAsia="宋体" w:cs="宋体"/>
          <w:snapToGrid w:val="0"/>
          <w:color w:val="000000"/>
          <w:spacing w:val="-6"/>
          <w:kern w:val="0"/>
          <w:sz w:val="20"/>
          <w:szCs w:val="20"/>
          <w:lang w:val="en-US" w:eastAsia="zh-CN" w:bidi="ar"/>
        </w:rPr>
        <w:t xml:space="preserve">元预付款 </w:t>
      </w:r>
    </w:p>
    <w:p w14:paraId="35E9D3D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2E3F19D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27.</w:t>
      </w:r>
      <w:r>
        <w:rPr>
          <w:rFonts w:hint="eastAsia" w:ascii="宋体" w:hAnsi="宋体" w:eastAsia="宋体" w:cs="宋体"/>
          <w:snapToGrid w:val="0"/>
          <w:color w:val="000000"/>
          <w:spacing w:val="-6"/>
          <w:kern w:val="0"/>
          <w:sz w:val="20"/>
          <w:szCs w:val="20"/>
          <w:lang w:val="en-US" w:eastAsia="zh-CN" w:bidi="ar"/>
        </w:rPr>
        <w:t xml:space="preserve">下列情形中甲的主张最可能得到人民法院支持的是： </w:t>
      </w:r>
    </w:p>
    <w:p w14:paraId="276C161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甲竞买人在现场拍卖中拍得一件艺术品，甲主张合同自拍卖师落槌时成立</w:t>
      </w:r>
    </w:p>
    <w:p w14:paraId="3B602F9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甲乙企业签订的合作备忘录仅表达了双方深度合作的意向，甲主张预约合同成立 </w:t>
      </w:r>
    </w:p>
    <w:p w14:paraId="08E961D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甲游戏平台在采用格式条款订立合同时，仅以设置勾选的方式提示用户，甲主张已履行提示义务 </w:t>
      </w:r>
    </w:p>
    <w:p w14:paraId="6F858C9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甲与乙的房产买卖合同存在可撤销的情形，但已办理产权变更登记手续，甲以此为由主张合同有效 </w:t>
      </w:r>
    </w:p>
    <w:p w14:paraId="26F6A27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49323DA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28.</w:t>
      </w:r>
      <w:r>
        <w:rPr>
          <w:rFonts w:hint="eastAsia" w:ascii="宋体" w:hAnsi="宋体" w:eastAsia="宋体" w:cs="宋体"/>
          <w:snapToGrid w:val="0"/>
          <w:color w:val="000000"/>
          <w:spacing w:val="-6"/>
          <w:kern w:val="0"/>
          <w:sz w:val="20"/>
          <w:szCs w:val="20"/>
          <w:lang w:val="en-US" w:eastAsia="zh-CN" w:bidi="ar"/>
        </w:rPr>
        <w:t xml:space="preserve">下列人物所说的话与经济有关，其中说法正确的是 </w:t>
      </w:r>
    </w:p>
    <w:p w14:paraId="44DD569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社区居民：我的定期储蓄存款被统计在货币供应量 </w:t>
      </w:r>
      <w:r>
        <w:rPr>
          <w:rFonts w:hint="default" w:ascii="Times New Roman" w:hAnsi="Times New Roman" w:eastAsia="宋体" w:cs="Times New Roman"/>
          <w:snapToGrid w:val="0"/>
          <w:color w:val="000000"/>
          <w:spacing w:val="-6"/>
          <w:kern w:val="0"/>
          <w:sz w:val="20"/>
          <w:szCs w:val="20"/>
          <w:lang w:val="en-US" w:eastAsia="zh-CN" w:bidi="ar"/>
        </w:rPr>
        <w:t>M</w:t>
      </w:r>
    </w:p>
    <w:p w14:paraId="1AD4E4A3">
      <w:pPr>
        <w:keepNext w:val="0"/>
        <w:keepLines w:val="0"/>
        <w:widowControl/>
        <w:suppressLineNumbers w:val="0"/>
        <w:jc w:val="left"/>
      </w:pPr>
      <w:r>
        <w:rPr>
          <w:rFonts w:hint="default" w:ascii="Times New Roman" w:hAnsi="Times New Roman" w:eastAsia="宋体" w:cs="Times New Roman"/>
          <w:snapToGrid w:val="0"/>
          <w:color w:val="000000"/>
          <w:spacing w:val="-6"/>
          <w:kern w:val="0"/>
          <w:sz w:val="13"/>
          <w:szCs w:val="13"/>
          <w:lang w:val="en-US" w:eastAsia="zh-CN" w:bidi="ar"/>
        </w:rPr>
        <w:t>1</w:t>
      </w:r>
      <w:r>
        <w:rPr>
          <w:rFonts w:hint="eastAsia" w:ascii="宋体" w:hAnsi="宋体" w:eastAsia="宋体" w:cs="宋体"/>
          <w:snapToGrid w:val="0"/>
          <w:color w:val="000000"/>
          <w:spacing w:val="-6"/>
          <w:kern w:val="0"/>
          <w:sz w:val="20"/>
          <w:szCs w:val="20"/>
          <w:lang w:val="en-US" w:eastAsia="zh-CN" w:bidi="ar"/>
        </w:rPr>
        <w:t xml:space="preserve">中 </w:t>
      </w:r>
    </w:p>
    <w:p w14:paraId="594A15E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外资企业 </w:t>
      </w:r>
      <w:r>
        <w:rPr>
          <w:rFonts w:hint="default" w:ascii="Times New Roman" w:hAnsi="Times New Roman" w:eastAsia="宋体" w:cs="Times New Roman"/>
          <w:snapToGrid w:val="0"/>
          <w:color w:val="000000"/>
          <w:spacing w:val="-6"/>
          <w:kern w:val="0"/>
          <w:sz w:val="20"/>
          <w:szCs w:val="20"/>
          <w:lang w:val="en-US" w:eastAsia="zh-CN" w:bidi="ar"/>
        </w:rPr>
        <w:t>CEO</w:t>
      </w:r>
      <w:r>
        <w:rPr>
          <w:rFonts w:hint="eastAsia" w:ascii="宋体" w:hAnsi="宋体" w:eastAsia="宋体" w:cs="宋体"/>
          <w:snapToGrid w:val="0"/>
          <w:color w:val="000000"/>
          <w:spacing w:val="-6"/>
          <w:kern w:val="0"/>
          <w:sz w:val="20"/>
          <w:szCs w:val="20"/>
          <w:lang w:val="en-US" w:eastAsia="zh-CN" w:bidi="ar"/>
        </w:rPr>
        <w:t xml:space="preserve">：我公司的产值持续增长，为中国 </w:t>
      </w:r>
      <w:r>
        <w:rPr>
          <w:rFonts w:hint="default" w:ascii="Times New Roman" w:hAnsi="Times New Roman" w:eastAsia="宋体" w:cs="Times New Roman"/>
          <w:snapToGrid w:val="0"/>
          <w:color w:val="000000"/>
          <w:spacing w:val="-6"/>
          <w:kern w:val="0"/>
          <w:sz w:val="20"/>
          <w:szCs w:val="20"/>
          <w:lang w:val="en-US" w:eastAsia="zh-CN" w:bidi="ar"/>
        </w:rPr>
        <w:t xml:space="preserve">GDP </w:t>
      </w:r>
      <w:r>
        <w:rPr>
          <w:rFonts w:hint="eastAsia" w:ascii="宋体" w:hAnsi="宋体" w:eastAsia="宋体" w:cs="宋体"/>
          <w:snapToGrid w:val="0"/>
          <w:color w:val="000000"/>
          <w:spacing w:val="-6"/>
          <w:kern w:val="0"/>
          <w:sz w:val="20"/>
          <w:szCs w:val="20"/>
          <w:lang w:val="en-US" w:eastAsia="zh-CN" w:bidi="ar"/>
        </w:rPr>
        <w:t xml:space="preserve">提升做出了贡献 </w:t>
      </w:r>
    </w:p>
    <w:p w14:paraId="2B1DBFF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留美学生：人民币汇率降低，我的学费也降低了 </w:t>
      </w:r>
    </w:p>
    <w:p w14:paraId="245DD5D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纳税商户：相比于增值税，营业税的好处是避免重复征税 </w:t>
      </w:r>
    </w:p>
    <w:p w14:paraId="15B152F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3D21364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29.</w:t>
      </w:r>
      <w:r>
        <w:rPr>
          <w:rFonts w:hint="eastAsia" w:ascii="宋体" w:hAnsi="宋体" w:eastAsia="宋体" w:cs="宋体"/>
          <w:snapToGrid w:val="0"/>
          <w:color w:val="000000"/>
          <w:spacing w:val="-6"/>
          <w:kern w:val="0"/>
          <w:sz w:val="20"/>
          <w:szCs w:val="20"/>
          <w:lang w:val="en-US" w:eastAsia="zh-CN" w:bidi="ar"/>
        </w:rPr>
        <w:t xml:space="preserve">下图为夏季某天我国两个城市的日月升落时间示意图，下列与之相关的说法正确的是： </w:t>
      </w:r>
    </w:p>
    <w:p w14:paraId="3C52B9B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左图城市比右图城市纬度高 </w:t>
      </w:r>
    </w:p>
    <w:p w14:paraId="3853B58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这一天是农历的二十左右 </w:t>
      </w:r>
    </w:p>
    <w:p w14:paraId="0314310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左图城市比右图城市位置更靠东 </w:t>
      </w:r>
    </w:p>
    <w:p w14:paraId="180B56E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两地的人所看到的月相是不同的 </w:t>
      </w:r>
    </w:p>
    <w:p w14:paraId="34D8E5D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4DEEA79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30.</w:t>
      </w:r>
      <w:r>
        <w:rPr>
          <w:rFonts w:hint="eastAsia" w:ascii="宋体" w:hAnsi="宋体" w:eastAsia="宋体" w:cs="宋体"/>
          <w:snapToGrid w:val="0"/>
          <w:color w:val="000000"/>
          <w:spacing w:val="-6"/>
          <w:kern w:val="0"/>
          <w:sz w:val="20"/>
          <w:szCs w:val="20"/>
          <w:lang w:val="en-US" w:eastAsia="zh-CN" w:bidi="ar"/>
        </w:rPr>
        <w:t xml:space="preserve">下列情境中的两个物理量成正比例的是： </w:t>
      </w:r>
    </w:p>
    <w:p w14:paraId="2C5CDC9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①通过某一电阻器的电流与其两端的电压 </w:t>
      </w:r>
    </w:p>
    <w:p w14:paraId="762BAF0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②物体所受浮力与其体积 </w:t>
      </w:r>
    </w:p>
    <w:p w14:paraId="19FC609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③弹性限度内弹簧的伸长量与其所受拉力 </w:t>
      </w:r>
    </w:p>
    <w:p w14:paraId="1E199C6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④汽车行驶时的加速度与速度 </w:t>
      </w:r>
    </w:p>
    <w:p w14:paraId="752C45C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①② </w:t>
      </w:r>
    </w:p>
    <w:p w14:paraId="1FB1A78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②④ </w:t>
      </w:r>
    </w:p>
    <w:p w14:paraId="6041264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③④ </w:t>
      </w:r>
    </w:p>
    <w:p w14:paraId="0CC1893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①③</w:t>
      </w:r>
    </w:p>
    <w:p w14:paraId="0C8AA6C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5C466A5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31.</w:t>
      </w:r>
      <w:r>
        <w:rPr>
          <w:rFonts w:hint="eastAsia" w:ascii="宋体" w:hAnsi="宋体" w:eastAsia="宋体" w:cs="宋体"/>
          <w:snapToGrid w:val="0"/>
          <w:color w:val="000000"/>
          <w:spacing w:val="-6"/>
          <w:kern w:val="0"/>
          <w:sz w:val="20"/>
          <w:szCs w:val="20"/>
          <w:lang w:val="en-US" w:eastAsia="zh-CN" w:bidi="ar"/>
        </w:rPr>
        <w:t xml:space="preserve">下列与纤维材料有关的说法错误的是： </w:t>
      </w:r>
    </w:p>
    <w:p w14:paraId="30914EB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玻璃纤维性脆，耐磨性较差 </w:t>
      </w:r>
    </w:p>
    <w:p w14:paraId="5F7AFFF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碳纤维抗张强度好且没有导电性 </w:t>
      </w:r>
    </w:p>
    <w:p w14:paraId="685C09E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竹炭纤维能吸湿和清除异味 </w:t>
      </w:r>
    </w:p>
    <w:p w14:paraId="7ADD25C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大豆蛋白纤维细腻，适用于内衣制造 </w:t>
      </w:r>
    </w:p>
    <w:p w14:paraId="23D7081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04C12E9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32.</w:t>
      </w:r>
      <w:r>
        <w:rPr>
          <w:rFonts w:hint="eastAsia" w:ascii="宋体" w:hAnsi="宋体" w:eastAsia="宋体" w:cs="宋体"/>
          <w:snapToGrid w:val="0"/>
          <w:color w:val="000000"/>
          <w:spacing w:val="-6"/>
          <w:kern w:val="0"/>
          <w:sz w:val="20"/>
          <w:szCs w:val="20"/>
          <w:lang w:val="en-US" w:eastAsia="zh-CN" w:bidi="ar"/>
        </w:rPr>
        <w:t xml:space="preserve">如果要写一部《地球史诗》，下列描述与地质年代对应不当的是： </w:t>
      </w:r>
    </w:p>
    <w:p w14:paraId="1232747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虽然这时的大陆荒凉一片，但大海的子民空前繁盛，藻类欣欣向荣，三叶虫风头最劲，生命是这个时代永恒的主题——寒武纪 </w:t>
      </w:r>
    </w:p>
    <w:p w14:paraId="7A3B1CB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新生的纪元始于大灭绝之后，哺乳动物继恐龙成为新主，被子植物极度繁盛，裸子植物只有松柏长青——志留纪 </w:t>
      </w:r>
    </w:p>
    <w:p w14:paraId="0571A86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鱼类是这个时代的代言人，裸蕨在大地上站稳了脚根，成片的森林改写了历史，登陆的两栖类颠覆了乾坤——泥盆纪 </w:t>
      </w:r>
    </w:p>
    <w:p w14:paraId="3661FEC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森林以裸子植物为名养育了恐龙，鸟类首次翱翔于天空，恐龙最终征服了世界——侏罗纪 </w:t>
      </w:r>
    </w:p>
    <w:p w14:paraId="67D4287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32C5DF9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33.</w:t>
      </w:r>
      <w:r>
        <w:rPr>
          <w:rFonts w:hint="eastAsia" w:ascii="宋体" w:hAnsi="宋体" w:eastAsia="宋体" w:cs="宋体"/>
          <w:snapToGrid w:val="0"/>
          <w:color w:val="000000"/>
          <w:spacing w:val="-6"/>
          <w:kern w:val="0"/>
          <w:sz w:val="20"/>
          <w:szCs w:val="20"/>
          <w:lang w:val="en-US" w:eastAsia="zh-CN" w:bidi="ar"/>
        </w:rPr>
        <w:t xml:space="preserve">下列与体育比赛有关的说法错误的是： </w:t>
      </w:r>
    </w:p>
    <w:p w14:paraId="4AD4518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跳水运动的难度系数涉及动作姿势和翻腾转体周数等方面 </w:t>
      </w:r>
    </w:p>
    <w:p w14:paraId="6CB2068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篮球比赛中罚球时允许球员双脚离地 </w:t>
      </w:r>
    </w:p>
    <w:p w14:paraId="6DE5F53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足球比赛的常规时间长度为 </w:t>
      </w:r>
      <w:r>
        <w:rPr>
          <w:rFonts w:hint="default" w:ascii="Times New Roman" w:hAnsi="Times New Roman" w:eastAsia="宋体" w:cs="Times New Roman"/>
          <w:snapToGrid w:val="0"/>
          <w:color w:val="000000"/>
          <w:spacing w:val="-6"/>
          <w:kern w:val="0"/>
          <w:sz w:val="20"/>
          <w:szCs w:val="20"/>
          <w:lang w:val="en-US" w:eastAsia="zh-CN" w:bidi="ar"/>
        </w:rPr>
        <w:t xml:space="preserve">90 </w:t>
      </w:r>
      <w:r>
        <w:rPr>
          <w:rFonts w:hint="eastAsia" w:ascii="宋体" w:hAnsi="宋体" w:eastAsia="宋体" w:cs="宋体"/>
          <w:snapToGrid w:val="0"/>
          <w:color w:val="000000"/>
          <w:spacing w:val="-6"/>
          <w:kern w:val="0"/>
          <w:sz w:val="20"/>
          <w:szCs w:val="20"/>
          <w:lang w:val="en-US" w:eastAsia="zh-CN" w:bidi="ar"/>
        </w:rPr>
        <w:t xml:space="preserve">分钟 </w:t>
      </w:r>
    </w:p>
    <w:p w14:paraId="063903A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举重运动中判定试举成功需要三名裁判均亮白灯 </w:t>
      </w:r>
    </w:p>
    <w:p w14:paraId="166B21B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69614F9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34.</w:t>
      </w:r>
      <w:r>
        <w:rPr>
          <w:rFonts w:hint="eastAsia" w:ascii="宋体" w:hAnsi="宋体" w:eastAsia="宋体" w:cs="宋体"/>
          <w:snapToGrid w:val="0"/>
          <w:color w:val="000000"/>
          <w:spacing w:val="-6"/>
          <w:kern w:val="0"/>
          <w:sz w:val="20"/>
          <w:szCs w:val="20"/>
          <w:lang w:val="en-US" w:eastAsia="zh-CN" w:bidi="ar"/>
        </w:rPr>
        <w:t xml:space="preserve">下列诗句都涉及天体，其中说法错误的是： </w:t>
      </w:r>
    </w:p>
    <w:p w14:paraId="12F7C1E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“卧看牵牛织女星”所涉及的天体不属于太阳系 </w:t>
      </w:r>
    </w:p>
    <w:p w14:paraId="0420DED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“每依北斗望京华”中的天体不包括北极星 </w:t>
      </w:r>
    </w:p>
    <w:p w14:paraId="3C9AEC0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“启明星在树梢头”中的行星公转轨道半径较地球更大 </w:t>
      </w:r>
    </w:p>
    <w:p w14:paraId="7A2491C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“岁星渐高辰星光”中的“岁星”属于气态巨行星 </w:t>
      </w:r>
    </w:p>
    <w:p w14:paraId="3B7F6994">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C</w:t>
      </w:r>
    </w:p>
    <w:p w14:paraId="7B0A8F8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35.</w:t>
      </w:r>
      <w:r>
        <w:rPr>
          <w:rFonts w:hint="eastAsia" w:ascii="宋体" w:hAnsi="宋体" w:eastAsia="宋体" w:cs="宋体"/>
          <w:snapToGrid w:val="0"/>
          <w:color w:val="000000"/>
          <w:spacing w:val="-6"/>
          <w:kern w:val="0"/>
          <w:sz w:val="20"/>
          <w:szCs w:val="20"/>
          <w:lang w:val="en-US" w:eastAsia="zh-CN" w:bidi="ar"/>
        </w:rPr>
        <w:t xml:space="preserve">关于温室栽培，下列说法错误的是： </w:t>
      </w:r>
    </w:p>
    <w:p w14:paraId="7AD9FC9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夜间降低温室内的温度，可以减少农作物营养物质的消耗 </w:t>
      </w:r>
    </w:p>
    <w:p w14:paraId="15E885E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相比普通塑料温室大棚，玻璃温室可以让阳光更容易进入 </w:t>
      </w:r>
    </w:p>
    <w:p w14:paraId="37AE2A1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紫外线灯是一种大棚中经常使用且效果较好的植物补光灯 </w:t>
      </w:r>
    </w:p>
    <w:p w14:paraId="3F8FAAC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在作物栽培过程中通入适量的二氧化碳可以提高作物产量 </w:t>
      </w:r>
    </w:p>
    <w:p w14:paraId="755FBAB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49848B69">
      <w:pPr>
        <w:keepNext w:val="0"/>
        <w:keepLines w:val="0"/>
        <w:widowControl/>
        <w:suppressLineNumbers w:val="0"/>
        <w:jc w:val="left"/>
        <w:rPr>
          <w:rFonts w:hint="eastAsia" w:ascii="宋体" w:hAnsi="宋体" w:eastAsia="宋体" w:cs="宋体"/>
          <w:b/>
          <w:bCs/>
          <w:snapToGrid w:val="0"/>
          <w:color w:val="000000"/>
          <w:spacing w:val="-6"/>
          <w:kern w:val="0"/>
          <w:sz w:val="30"/>
          <w:szCs w:val="30"/>
          <w:lang w:val="en-US" w:eastAsia="zh-CN" w:bidi="ar"/>
        </w:rPr>
      </w:pPr>
    </w:p>
    <w:p w14:paraId="5FE4F126">
      <w:pPr>
        <w:keepNext w:val="0"/>
        <w:keepLines w:val="0"/>
        <w:widowControl/>
        <w:suppressLineNumbers w:val="0"/>
        <w:jc w:val="left"/>
        <w:rPr>
          <w:rFonts w:hint="eastAsia" w:ascii="宋体" w:hAnsi="宋体" w:eastAsia="宋体" w:cs="宋体"/>
          <w:b/>
          <w:bCs/>
          <w:snapToGrid w:val="0"/>
          <w:color w:val="000000"/>
          <w:spacing w:val="-6"/>
          <w:kern w:val="0"/>
          <w:sz w:val="30"/>
          <w:szCs w:val="30"/>
          <w:lang w:val="en-US" w:eastAsia="zh-CN" w:bidi="ar"/>
        </w:rPr>
      </w:pPr>
    </w:p>
    <w:p w14:paraId="0DB7AAD3">
      <w:pPr>
        <w:keepNext w:val="0"/>
        <w:keepLines w:val="0"/>
        <w:widowControl/>
        <w:suppressLineNumbers w:val="0"/>
        <w:jc w:val="center"/>
      </w:pPr>
      <w:r>
        <w:rPr>
          <w:rFonts w:hint="eastAsia" w:ascii="宋体" w:hAnsi="宋体" w:eastAsia="宋体" w:cs="宋体"/>
          <w:b/>
          <w:bCs/>
          <w:snapToGrid w:val="0"/>
          <w:color w:val="000000"/>
          <w:spacing w:val="-6"/>
          <w:kern w:val="0"/>
          <w:sz w:val="30"/>
          <w:szCs w:val="30"/>
          <w:lang w:val="en-US" w:eastAsia="zh-CN" w:bidi="ar"/>
        </w:rPr>
        <w:t>第三部分 言语理解与表达</w:t>
      </w:r>
    </w:p>
    <w:p w14:paraId="7E266861">
      <w:pPr>
        <w:keepNext w:val="0"/>
        <w:keepLines w:val="0"/>
        <w:widowControl/>
        <w:suppressLineNumbers w:val="0"/>
        <w:jc w:val="left"/>
        <w:rPr>
          <w:rFonts w:hint="eastAsia" w:ascii="宋体" w:hAnsi="宋体" w:eastAsia="宋体" w:cs="宋体"/>
          <w:b/>
          <w:bCs/>
          <w:snapToGrid w:val="0"/>
          <w:color w:val="000000"/>
          <w:spacing w:val="-6"/>
          <w:kern w:val="0"/>
          <w:sz w:val="20"/>
          <w:szCs w:val="20"/>
          <w:lang w:val="en-US" w:eastAsia="zh-CN" w:bidi="ar"/>
        </w:rPr>
      </w:pPr>
    </w:p>
    <w:p w14:paraId="3850C329">
      <w:pPr>
        <w:keepNext w:val="0"/>
        <w:keepLines w:val="0"/>
        <w:widowControl/>
        <w:suppressLineNumbers w:val="0"/>
        <w:jc w:val="left"/>
        <w:rPr>
          <w:rFonts w:hint="eastAsia" w:ascii="宋体" w:hAnsi="宋体" w:eastAsia="宋体" w:cs="宋体"/>
          <w:b/>
          <w:bCs/>
          <w:snapToGrid w:val="0"/>
          <w:color w:val="000000"/>
          <w:spacing w:val="-6"/>
          <w:kern w:val="0"/>
          <w:sz w:val="20"/>
          <w:szCs w:val="20"/>
          <w:lang w:val="en-US" w:eastAsia="zh-CN" w:bidi="ar"/>
        </w:rPr>
      </w:pPr>
    </w:p>
    <w:p w14:paraId="3A35E553">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本部分包括表达与理解两方面的内容。请根据题目要求，在四个选项中选出一个最恰当的答案。 </w:t>
      </w:r>
    </w:p>
    <w:p w14:paraId="3F7CAB23">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请开始答题： </w:t>
      </w:r>
    </w:p>
    <w:p w14:paraId="7E0BDAD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36.</w:t>
      </w:r>
      <w:r>
        <w:rPr>
          <w:rFonts w:hint="eastAsia" w:ascii="宋体" w:hAnsi="宋体" w:eastAsia="宋体" w:cs="宋体"/>
          <w:snapToGrid w:val="0"/>
          <w:color w:val="000000"/>
          <w:spacing w:val="-6"/>
          <w:kern w:val="0"/>
          <w:sz w:val="20"/>
          <w:szCs w:val="20"/>
          <w:lang w:val="en-US" w:eastAsia="zh-CN" w:bidi="ar"/>
        </w:rPr>
        <w:t>《营造法式》刊行之后，两浙一带的建筑技术借助官方的推广完全融入了中国古典木构建筑技术的主流。以抬梁式为梁柱结构，屋面重量通过椽、檩、梁、斗拱、柱传递至基础的方案，形成此后中国官式建筑</w:t>
      </w:r>
      <w:r>
        <w:rPr>
          <w:rFonts w:hint="default" w:ascii="Times New Roman" w:hAnsi="Times New Roman" w:eastAsia="宋体" w:cs="Times New Roman"/>
          <w:snapToGrid w:val="0"/>
          <w:color w:val="000000"/>
          <w:spacing w:val="-6"/>
          <w:kern w:val="0"/>
          <w:sz w:val="20"/>
          <w:szCs w:val="20"/>
          <w:lang w:val="en-US" w:eastAsia="zh-CN" w:bidi="ar"/>
        </w:rPr>
        <w:t>__________</w:t>
      </w:r>
      <w:r>
        <w:rPr>
          <w:rFonts w:hint="eastAsia" w:ascii="宋体" w:hAnsi="宋体" w:eastAsia="宋体" w:cs="宋体"/>
          <w:snapToGrid w:val="0"/>
          <w:color w:val="000000"/>
          <w:spacing w:val="-6"/>
          <w:kern w:val="0"/>
          <w:sz w:val="20"/>
          <w:szCs w:val="20"/>
          <w:lang w:val="en-US" w:eastAsia="zh-CN" w:bidi="ar"/>
        </w:rPr>
        <w:t xml:space="preserve">的发展路径。这种结构开间大、立柱少，气势恢宏，可细分为殿堂式与厅堂式，满足不同礼制等级的需要。 </w:t>
      </w:r>
    </w:p>
    <w:p w14:paraId="28571C7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填入画横线部分最恰当的一项是： </w:t>
      </w:r>
    </w:p>
    <w:p w14:paraId="420FB5C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源远流长 </w:t>
      </w:r>
    </w:p>
    <w:p w14:paraId="281443A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一枝独秀 </w:t>
      </w:r>
    </w:p>
    <w:p w14:paraId="63FBBAF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标新立异 </w:t>
      </w:r>
    </w:p>
    <w:p w14:paraId="434BCD9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一以贯之 </w:t>
      </w:r>
    </w:p>
    <w:p w14:paraId="357F8D6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098D66A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37.</w:t>
      </w:r>
      <w:r>
        <w:rPr>
          <w:rFonts w:hint="eastAsia" w:ascii="宋体" w:hAnsi="宋体" w:eastAsia="宋体" w:cs="宋体"/>
          <w:snapToGrid w:val="0"/>
          <w:color w:val="000000"/>
          <w:spacing w:val="-6"/>
          <w:kern w:val="0"/>
          <w:sz w:val="20"/>
          <w:szCs w:val="20"/>
          <w:lang w:val="en-US" w:eastAsia="zh-CN" w:bidi="ar"/>
        </w:rPr>
        <w:t>随着技术经验积累，高空风弹道修正等技术方法能使火箭在飞行过程中有效抵抗风干扰。为了有更强的适应性，长八火箭除了使用自主抗于扰控制技术等成熟方法，还增加了自动滚转减载技术，根据风的来向，在空中主动滚动调整，以更稳定的优势面来应对高空风，用</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 xml:space="preserve">的方式，通过自身旋转抵消掉高空风的影响。填入画横线部分最恰当的一项是： </w:t>
      </w:r>
    </w:p>
    <w:p w14:paraId="74D015E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以柔克刚 </w:t>
      </w:r>
    </w:p>
    <w:p w14:paraId="21FE2BF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以守为攻 </w:t>
      </w:r>
    </w:p>
    <w:p w14:paraId="256E5F3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以虚为实 </w:t>
      </w:r>
    </w:p>
    <w:p w14:paraId="4381EA3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以退为进</w:t>
      </w:r>
    </w:p>
    <w:p w14:paraId="7E473B2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0F6E4C2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38.</w:t>
      </w:r>
      <w:r>
        <w:rPr>
          <w:rFonts w:hint="eastAsia" w:ascii="宋体" w:hAnsi="宋体" w:eastAsia="宋体" w:cs="宋体"/>
          <w:snapToGrid w:val="0"/>
          <w:color w:val="000000"/>
          <w:spacing w:val="-6"/>
          <w:kern w:val="0"/>
          <w:sz w:val="20"/>
          <w:szCs w:val="20"/>
          <w:lang w:val="en-US" w:eastAsia="zh-CN" w:bidi="ar"/>
        </w:rPr>
        <w:t>兔和羚羊等食草动物获取食物时动作敏捷，牛类有瘤胃可以囤积食物，到安全环境中再慢慢消化、大熊猫既没有敏捷度，也没有瘤胃结构，所以“</w:t>
      </w:r>
      <w:r>
        <w:rPr>
          <w:rFonts w:hint="default" w:ascii="Times New Roman" w:hAnsi="Times New Roman" w:eastAsia="宋体" w:cs="Times New Roman"/>
          <w:snapToGrid w:val="0"/>
          <w:color w:val="000000"/>
          <w:spacing w:val="-6"/>
          <w:kern w:val="0"/>
          <w:sz w:val="20"/>
          <w:szCs w:val="20"/>
          <w:lang w:val="en-US" w:eastAsia="zh-CN" w:bidi="ar"/>
        </w:rPr>
        <w:t>_______</w:t>
      </w:r>
      <w:r>
        <w:rPr>
          <w:rFonts w:hint="eastAsia" w:ascii="宋体" w:hAnsi="宋体" w:eastAsia="宋体" w:cs="宋体"/>
          <w:snapToGrid w:val="0"/>
          <w:color w:val="000000"/>
          <w:spacing w:val="-6"/>
          <w:kern w:val="0"/>
          <w:sz w:val="20"/>
          <w:szCs w:val="20"/>
          <w:lang w:val="en-US" w:eastAsia="zh-CN" w:bidi="ar"/>
        </w:rPr>
        <w:t xml:space="preserve">”，选择了其它动物不吃的食物种类，也出现了一些与进食、消化有关的基国突变、形成了独特的食性——将箭竹作为主食。 </w:t>
      </w:r>
    </w:p>
    <w:p w14:paraId="5BB0536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填入画横线部分最恰当的一项是： </w:t>
      </w:r>
    </w:p>
    <w:p w14:paraId="44525F3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因陋就简 </w:t>
      </w:r>
    </w:p>
    <w:p w14:paraId="7112EE5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另辟蹊径 </w:t>
      </w:r>
    </w:p>
    <w:p w14:paraId="29A1E80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扬长避短 </w:t>
      </w:r>
    </w:p>
    <w:p w14:paraId="4C3D548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顺水推舟 </w:t>
      </w:r>
    </w:p>
    <w:p w14:paraId="329EF0F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007C2C8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39.</w:t>
      </w:r>
      <w:r>
        <w:rPr>
          <w:rFonts w:hint="eastAsia" w:ascii="宋体" w:hAnsi="宋体" w:eastAsia="宋体" w:cs="宋体"/>
          <w:snapToGrid w:val="0"/>
          <w:color w:val="000000"/>
          <w:spacing w:val="-6"/>
          <w:kern w:val="0"/>
          <w:sz w:val="20"/>
          <w:szCs w:val="20"/>
          <w:lang w:val="en-US" w:eastAsia="zh-CN" w:bidi="ar"/>
        </w:rPr>
        <w:t>习近平总书记关于党的自我革命的重要思想，强调坚持真理，坚守马克思主义政党的性质宗旨，谋根本、谋大利：强调修正错误，不讳疾忌医、不</w:t>
      </w:r>
      <w:r>
        <w:rPr>
          <w:rFonts w:hint="default" w:ascii="Times New Roman" w:hAnsi="Times New Roman" w:eastAsia="宋体" w:cs="Times New Roman"/>
          <w:snapToGrid w:val="0"/>
          <w:color w:val="000000"/>
          <w:spacing w:val="-6"/>
          <w:kern w:val="0"/>
          <w:sz w:val="20"/>
          <w:szCs w:val="20"/>
          <w:lang w:val="en-US" w:eastAsia="zh-CN" w:bidi="ar"/>
        </w:rPr>
        <w:t>________,</w:t>
      </w:r>
      <w:r>
        <w:rPr>
          <w:rFonts w:hint="eastAsia" w:ascii="宋体" w:hAnsi="宋体" w:eastAsia="宋体" w:cs="宋体"/>
          <w:snapToGrid w:val="0"/>
          <w:color w:val="000000"/>
          <w:spacing w:val="-6"/>
          <w:kern w:val="0"/>
          <w:sz w:val="20"/>
          <w:szCs w:val="20"/>
          <w:lang w:val="en-US" w:eastAsia="zh-CN" w:bidi="ar"/>
        </w:rPr>
        <w:t>及时发现和解决自身存在的问题：强调</w:t>
      </w:r>
      <w:r>
        <w:rPr>
          <w:rFonts w:hint="default" w:ascii="Times New Roman" w:hAnsi="Times New Roman" w:eastAsia="宋体" w:cs="Times New Roman"/>
          <w:snapToGrid w:val="0"/>
          <w:color w:val="000000"/>
          <w:spacing w:val="-6"/>
          <w:kern w:val="0"/>
          <w:sz w:val="20"/>
          <w:szCs w:val="20"/>
          <w:lang w:val="en-US" w:eastAsia="zh-CN" w:bidi="ar"/>
        </w:rPr>
        <w:t>________</w:t>
      </w:r>
      <w:r>
        <w:rPr>
          <w:rFonts w:hint="eastAsia" w:ascii="宋体" w:hAnsi="宋体" w:eastAsia="宋体" w:cs="宋体"/>
          <w:snapToGrid w:val="0"/>
          <w:color w:val="000000"/>
          <w:spacing w:val="-6"/>
          <w:kern w:val="0"/>
          <w:sz w:val="20"/>
          <w:szCs w:val="20"/>
          <w:lang w:val="en-US" w:eastAsia="zh-CN" w:bidi="ar"/>
        </w:rPr>
        <w:t xml:space="preserve">，不断深化对党的自我革命的规律性认识，把党的自我革命的思路举措搞得更加严密，蕴含着党在革故鼎新、守正创新中实现自身跨越的完整逻辑。 </w:t>
      </w:r>
    </w:p>
    <w:p w14:paraId="6806D43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1E9110A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文过饰非 与时俱进 </w:t>
      </w:r>
    </w:p>
    <w:p w14:paraId="0AD9EEA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掩耳盗铃 脚踏实地 </w:t>
      </w:r>
    </w:p>
    <w:p w14:paraId="4EA9402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避重就轻 学以致用 </w:t>
      </w:r>
    </w:p>
    <w:p w14:paraId="0A2B520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矫枉过正 实事求是 </w:t>
      </w:r>
    </w:p>
    <w:p w14:paraId="5BDD0EB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00BE4B5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40.</w:t>
      </w:r>
      <w:r>
        <w:rPr>
          <w:rFonts w:hint="eastAsia" w:ascii="宋体" w:hAnsi="宋体" w:eastAsia="宋体" w:cs="宋体"/>
          <w:snapToGrid w:val="0"/>
          <w:color w:val="000000"/>
          <w:spacing w:val="-6"/>
          <w:kern w:val="0"/>
          <w:sz w:val="20"/>
          <w:szCs w:val="20"/>
          <w:lang w:val="en-US" w:eastAsia="zh-CN" w:bidi="ar"/>
        </w:rPr>
        <w:t>政府机关作为法律授权履行公共职责的部门，承担广告监管职责</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，但网络平台企业也应参与网络广告的治理。法律规定，互联网平台经营者在提供互联网信息服务过程中应当采取措施防范、制止违法广告，将网络平台视为违法广告的“</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 xml:space="preserve">”，要求其扮演“协同监管者”的角色。 </w:t>
      </w:r>
    </w:p>
    <w:p w14:paraId="6832B12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7A92602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责无旁贷 清道夫 </w:t>
      </w:r>
    </w:p>
    <w:p w14:paraId="35C5C61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义不容辞 责任田 </w:t>
      </w:r>
    </w:p>
    <w:p w14:paraId="45471F4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当仁不让 防火墙 </w:t>
      </w:r>
    </w:p>
    <w:p w14:paraId="3EAD9FC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自不待言 过滤网</w:t>
      </w:r>
    </w:p>
    <w:p w14:paraId="46A8D3D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3E441F5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41.</w:t>
      </w:r>
      <w:r>
        <w:rPr>
          <w:rFonts w:hint="eastAsia" w:ascii="宋体" w:hAnsi="宋体" w:eastAsia="宋体" w:cs="宋体"/>
          <w:snapToGrid w:val="0"/>
          <w:color w:val="000000"/>
          <w:spacing w:val="-6"/>
          <w:kern w:val="0"/>
          <w:sz w:val="20"/>
          <w:szCs w:val="20"/>
          <w:lang w:val="en-US" w:eastAsia="zh-CN" w:bidi="ar"/>
        </w:rPr>
        <w:t>此前，司法机关获取救助线索主要靠人工摸排，这存在一定的</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、被动性。为此，司法机关尝试运用大数据，主动发现救助线索，实现“应救尽救、应救即救”，同时衔接社会救助力量，构建多元帮扶机制，提供</w:t>
      </w:r>
      <w:r>
        <w:rPr>
          <w:rFonts w:hint="default" w:ascii="Times New Roman" w:hAnsi="Times New Roman" w:eastAsia="宋体" w:cs="Times New Roman"/>
          <w:snapToGrid w:val="0"/>
          <w:color w:val="000000"/>
          <w:spacing w:val="-6"/>
          <w:kern w:val="0"/>
          <w:sz w:val="20"/>
          <w:szCs w:val="20"/>
          <w:lang w:val="en-US" w:eastAsia="zh-CN" w:bidi="ar"/>
        </w:rPr>
        <w:t>_________</w:t>
      </w:r>
      <w:r>
        <w:rPr>
          <w:rFonts w:hint="eastAsia" w:ascii="宋体" w:hAnsi="宋体" w:eastAsia="宋体" w:cs="宋体"/>
          <w:snapToGrid w:val="0"/>
          <w:color w:val="000000"/>
          <w:spacing w:val="-6"/>
          <w:kern w:val="0"/>
          <w:sz w:val="20"/>
          <w:szCs w:val="20"/>
          <w:lang w:val="en-US" w:eastAsia="zh-CN" w:bidi="ar"/>
        </w:rPr>
        <w:t xml:space="preserve">救助，切实解决了一些困难群体急难愁盼的问题。 </w:t>
      </w:r>
    </w:p>
    <w:p w14:paraId="5E2E01C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1694D0E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片面性 一揽子 </w:t>
      </w:r>
    </w:p>
    <w:p w14:paraId="7AC5E5E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滞后性</w:t>
      </w:r>
      <w:r>
        <w:rPr>
          <w:rFonts w:hint="eastAsia" w:cs="宋体"/>
          <w:snapToGrid w:val="0"/>
          <w:color w:val="000000"/>
          <w:spacing w:val="-6"/>
          <w:kern w:val="0"/>
          <w:sz w:val="20"/>
          <w:szCs w:val="20"/>
          <w:lang w:val="en-US" w:eastAsia="zh-CN" w:bidi="ar"/>
        </w:rPr>
        <w:t xml:space="preserve"> </w:t>
      </w:r>
      <w:r>
        <w:rPr>
          <w:rFonts w:hint="eastAsia" w:ascii="宋体" w:hAnsi="宋体" w:eastAsia="宋体" w:cs="宋体"/>
          <w:snapToGrid w:val="0"/>
          <w:color w:val="000000"/>
          <w:spacing w:val="-6"/>
          <w:kern w:val="0"/>
          <w:sz w:val="20"/>
          <w:szCs w:val="20"/>
          <w:lang w:val="en-US" w:eastAsia="zh-CN" w:bidi="ar"/>
        </w:rPr>
        <w:t xml:space="preserve">全方位 </w:t>
      </w:r>
    </w:p>
    <w:p w14:paraId="2A163CE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偶然性 一站式 </w:t>
      </w:r>
    </w:p>
    <w:p w14:paraId="5F30D99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局限性 全天候 </w:t>
      </w:r>
    </w:p>
    <w:p w14:paraId="3322EDE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1AE6CCC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42.</w:t>
      </w:r>
      <w:r>
        <w:rPr>
          <w:rFonts w:hint="eastAsia" w:ascii="宋体" w:hAnsi="宋体" w:eastAsia="宋体" w:cs="宋体"/>
          <w:snapToGrid w:val="0"/>
          <w:color w:val="000000"/>
          <w:spacing w:val="-6"/>
          <w:kern w:val="0"/>
          <w:sz w:val="20"/>
          <w:szCs w:val="20"/>
          <w:lang w:val="en-US" w:eastAsia="zh-CN" w:bidi="ar"/>
        </w:rPr>
        <w:t>党的规模大了，一些人容易出现搞小山头、小圈子、小团伙现象，容易出现</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 xml:space="preserve">、 </w:t>
      </w:r>
    </w:p>
    <w:p w14:paraId="2FC1789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自行其是问题，破坏党的团结统一，影响党的凝聚力战斗力。随着改革开放逐步深入，社会利益多元化、思想多样化也深刻影响到党员、干部的观念和行为。我们必须在重大问题、严峻形势面前始终心往一处想。劲往一处使，做到凝心聚力、</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 xml:space="preserve">，确保全党紧密团结在党中央周围，步调一致向前进。 </w:t>
      </w:r>
    </w:p>
    <w:p w14:paraId="1FE10E2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6A08D65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 </w:t>
      </w:r>
      <w:r>
        <w:rPr>
          <w:rFonts w:hint="eastAsia" w:ascii="宋体" w:hAnsi="宋体" w:eastAsia="宋体" w:cs="宋体"/>
          <w:snapToGrid w:val="0"/>
          <w:color w:val="000000"/>
          <w:spacing w:val="-6"/>
          <w:kern w:val="0"/>
          <w:sz w:val="20"/>
          <w:szCs w:val="20"/>
          <w:lang w:val="en-US" w:eastAsia="zh-CN" w:bidi="ar"/>
        </w:rPr>
        <w:t xml:space="preserve">尾大不掉 众志成城 </w:t>
      </w:r>
    </w:p>
    <w:p w14:paraId="2B4C143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阳奉阴违 同仇敌忾 </w:t>
      </w:r>
    </w:p>
    <w:p w14:paraId="0EC7DF6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分崩离析 群策群力 </w:t>
      </w:r>
    </w:p>
    <w:p w14:paraId="23CA4AA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南辕北辙 和衷共济 </w:t>
      </w:r>
    </w:p>
    <w:p w14:paraId="248F72D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527AB2C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43.</w:t>
      </w:r>
      <w:r>
        <w:rPr>
          <w:rFonts w:hint="eastAsia" w:ascii="宋体" w:hAnsi="宋体" w:eastAsia="宋体" w:cs="宋体"/>
          <w:snapToGrid w:val="0"/>
          <w:color w:val="000000"/>
          <w:spacing w:val="-6"/>
          <w:kern w:val="0"/>
          <w:sz w:val="20"/>
          <w:szCs w:val="20"/>
          <w:lang w:val="en-US" w:eastAsia="zh-CN" w:bidi="ar"/>
        </w:rPr>
        <w:t>能量的产生和使用不一定</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。可再生能源发电如风力发电、太阳能发电等，会因为天气、季节、地理位置的不同，存在不同时间尺度的间歇性，而用电需求也有</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 xml:space="preserve">，时多时少。低成本大规模的储能系统可以突破可再生能源“即发即用、不能存储”的瓶颈，显著提高风、光等可再生能源的消纳水平。 </w:t>
      </w:r>
    </w:p>
    <w:p w14:paraId="2F8BB55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361DB49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同步 波动性 </w:t>
      </w:r>
    </w:p>
    <w:p w14:paraId="6B9E6A2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协调 机动性</w:t>
      </w:r>
    </w:p>
    <w:p w14:paraId="0978172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平衡 规律性 </w:t>
      </w:r>
    </w:p>
    <w:p w14:paraId="61C6B7C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匹配 差异性 </w:t>
      </w:r>
    </w:p>
    <w:p w14:paraId="4228AA1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3F42600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44.</w:t>
      </w:r>
      <w:r>
        <w:rPr>
          <w:rFonts w:hint="eastAsia" w:ascii="宋体" w:hAnsi="宋体" w:eastAsia="宋体" w:cs="宋体"/>
          <w:snapToGrid w:val="0"/>
          <w:color w:val="000000"/>
          <w:spacing w:val="-6"/>
          <w:kern w:val="0"/>
          <w:sz w:val="20"/>
          <w:szCs w:val="20"/>
          <w:lang w:val="en-US" w:eastAsia="zh-CN" w:bidi="ar"/>
        </w:rPr>
        <w:t>要提高“临事能断”本领，就要处理好反复权衡和适时决断的关系，既要深入考量、三思而行、又要视情而断、当机立断，不能等待观望、</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、议而不决。当然，提倡在关键时刻善于决断，并不意味着可以</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 xml:space="preserve">、我行我素，而是要善于聚民意、集众智，推动科学决策。 </w:t>
      </w:r>
    </w:p>
    <w:p w14:paraId="43AC8B3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1EB1115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犹豫不决 泥古不化 </w:t>
      </w:r>
    </w:p>
    <w:p w14:paraId="7467FFF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左顾右盼 听之任之 </w:t>
      </w:r>
    </w:p>
    <w:p w14:paraId="7E4FB4A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举棋不定 刚愎自用 </w:t>
      </w:r>
    </w:p>
    <w:p w14:paraId="42823B1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见风使舵 自作主张 </w:t>
      </w:r>
    </w:p>
    <w:p w14:paraId="0FC0A93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75EEE2B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45.</w:t>
      </w:r>
      <w:r>
        <w:rPr>
          <w:rFonts w:hint="eastAsia" w:ascii="宋体" w:hAnsi="宋体" w:eastAsia="宋体" w:cs="宋体"/>
          <w:snapToGrid w:val="0"/>
          <w:color w:val="000000"/>
          <w:spacing w:val="-6"/>
          <w:kern w:val="0"/>
          <w:sz w:val="20"/>
          <w:szCs w:val="20"/>
          <w:lang w:val="en-US" w:eastAsia="zh-CN" w:bidi="ar"/>
        </w:rPr>
        <w:t xml:space="preserve">各国正逐步形成以无人机、巡航导弹、弹道导弹、轰炸机等为主力的高效空袭体系，可以实现 </w:t>
      </w:r>
      <w:r>
        <w:rPr>
          <w:rFonts w:hint="default" w:ascii="Times New Roman" w:hAnsi="Times New Roman" w:eastAsia="宋体" w:cs="Times New Roman"/>
          <w:snapToGrid w:val="0"/>
          <w:color w:val="000000"/>
          <w:spacing w:val="-6"/>
          <w:kern w:val="0"/>
          <w:sz w:val="20"/>
          <w:szCs w:val="20"/>
          <w:lang w:val="en-US" w:eastAsia="zh-CN" w:bidi="ar"/>
        </w:rPr>
        <w:t>46.</w:t>
      </w:r>
      <w:r>
        <w:rPr>
          <w:rFonts w:hint="eastAsia" w:ascii="宋体" w:hAnsi="宋体" w:eastAsia="宋体" w:cs="宋体"/>
          <w:snapToGrid w:val="0"/>
          <w:color w:val="000000"/>
          <w:spacing w:val="-6"/>
          <w:kern w:val="0"/>
          <w:sz w:val="20"/>
          <w:szCs w:val="20"/>
          <w:lang w:val="en-US" w:eastAsia="zh-CN" w:bidi="ar"/>
        </w:rPr>
        <w:t>对目标空域的饱和袭击。这让只能命中单一目标的防空导弹陷入</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的境地。面对复杂多样的战场威胁，防空导弹不再</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 xml:space="preserve">，而是“攥指成拳”，朝着防空导弹系统升级转变。 </w:t>
      </w:r>
    </w:p>
    <w:p w14:paraId="67D5B45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2A71F7D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腹背受敌 各自为战 </w:t>
      </w:r>
    </w:p>
    <w:p w14:paraId="33A8D0A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鞭长莫及 形单影只 </w:t>
      </w:r>
    </w:p>
    <w:p w14:paraId="2BF01AF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捉襟见肘 故步自封 </w:t>
      </w:r>
    </w:p>
    <w:p w14:paraId="0E738DE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孤掌难鸣 单打独斗 </w:t>
      </w:r>
    </w:p>
    <w:p w14:paraId="4F146DC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47C0F8A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46.</w:t>
      </w:r>
      <w:r>
        <w:rPr>
          <w:rFonts w:hint="eastAsia" w:ascii="宋体" w:hAnsi="宋体" w:eastAsia="宋体" w:cs="宋体"/>
          <w:snapToGrid w:val="0"/>
          <w:color w:val="000000"/>
          <w:spacing w:val="-6"/>
          <w:kern w:val="0"/>
          <w:sz w:val="20"/>
          <w:szCs w:val="20"/>
          <w:lang w:val="en-US" w:eastAsia="zh-CN" w:bidi="ar"/>
        </w:rPr>
        <w:t>“南橘北枳”是</w:t>
      </w:r>
      <w:r>
        <w:rPr>
          <w:rFonts w:hint="default" w:ascii="Times New Roman" w:hAnsi="Times New Roman" w:eastAsia="宋体" w:cs="Times New Roman"/>
          <w:snapToGrid w:val="0"/>
          <w:color w:val="000000"/>
          <w:spacing w:val="-6"/>
          <w:kern w:val="0"/>
          <w:sz w:val="20"/>
          <w:szCs w:val="20"/>
          <w:lang w:val="en-US" w:eastAsia="zh-CN" w:bidi="ar"/>
        </w:rPr>
        <w:t>_______</w:t>
      </w:r>
      <w:r>
        <w:rPr>
          <w:rFonts w:hint="eastAsia" w:ascii="宋体" w:hAnsi="宋体" w:eastAsia="宋体" w:cs="宋体"/>
          <w:snapToGrid w:val="0"/>
          <w:color w:val="000000"/>
          <w:spacing w:val="-6"/>
          <w:kern w:val="0"/>
          <w:sz w:val="20"/>
          <w:szCs w:val="20"/>
          <w:lang w:val="en-US" w:eastAsia="zh-CN" w:bidi="ar"/>
        </w:rPr>
        <w:t>的自然规律。一些植物美则美矣，但只能生活在特定的自然环境中。某些地区不顾本地条件，只想迅速复制网红景观，画虎不成反类犬。一个地区的山水林田湖草是命运共同体，人为“改弦更张”，可能破坏生态平衡，到头来</w:t>
      </w:r>
      <w:r>
        <w:rPr>
          <w:rFonts w:hint="default" w:ascii="Times New Roman" w:hAnsi="Times New Roman" w:eastAsia="宋体" w:cs="Times New Roman"/>
          <w:snapToGrid w:val="0"/>
          <w:color w:val="000000"/>
          <w:spacing w:val="-6"/>
          <w:kern w:val="0"/>
          <w:sz w:val="20"/>
          <w:szCs w:val="20"/>
          <w:lang w:val="en-US" w:eastAsia="zh-CN" w:bidi="ar"/>
        </w:rPr>
        <w:t>_______</w:t>
      </w:r>
      <w:r>
        <w:rPr>
          <w:rFonts w:hint="eastAsia" w:ascii="宋体" w:hAnsi="宋体" w:eastAsia="宋体" w:cs="宋体"/>
          <w:snapToGrid w:val="0"/>
          <w:color w:val="000000"/>
          <w:spacing w:val="-6"/>
          <w:kern w:val="0"/>
          <w:sz w:val="20"/>
          <w:szCs w:val="20"/>
          <w:lang w:val="en-US" w:eastAsia="zh-CN" w:bidi="ar"/>
        </w:rPr>
        <w:t xml:space="preserve">。 </w:t>
      </w:r>
    </w:p>
    <w:p w14:paraId="2AA16D3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42815AA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颠扑不破 得不偿失 </w:t>
      </w:r>
    </w:p>
    <w:p w14:paraId="169588A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显而易见 后患无穷</w:t>
      </w:r>
    </w:p>
    <w:p w14:paraId="58E5097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众所周知 一无所有 </w:t>
      </w:r>
    </w:p>
    <w:p w14:paraId="493AFB4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毋庸置疑 贻笑大方 </w:t>
      </w:r>
    </w:p>
    <w:p w14:paraId="47E5B70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37E0DE3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47.</w:t>
      </w:r>
      <w:r>
        <w:rPr>
          <w:rFonts w:hint="eastAsia" w:ascii="宋体" w:hAnsi="宋体" w:eastAsia="宋体" w:cs="宋体"/>
          <w:snapToGrid w:val="0"/>
          <w:color w:val="000000"/>
          <w:spacing w:val="-6"/>
          <w:kern w:val="0"/>
          <w:sz w:val="20"/>
          <w:szCs w:val="20"/>
          <w:lang w:val="en-US" w:eastAsia="zh-CN" w:bidi="ar"/>
        </w:rPr>
        <w:t>再严明的纪律，不执行、不遵守、不维护，也是</w:t>
      </w:r>
      <w:r>
        <w:rPr>
          <w:rFonts w:hint="default" w:ascii="Times New Roman" w:hAnsi="Times New Roman" w:eastAsia="宋体" w:cs="Times New Roman"/>
          <w:snapToGrid w:val="0"/>
          <w:color w:val="000000"/>
          <w:spacing w:val="-6"/>
          <w:kern w:val="0"/>
          <w:sz w:val="20"/>
          <w:szCs w:val="20"/>
          <w:lang w:val="en-US" w:eastAsia="zh-CN" w:bidi="ar"/>
        </w:rPr>
        <w:t>_______</w:t>
      </w:r>
      <w:r>
        <w:rPr>
          <w:rFonts w:hint="eastAsia" w:ascii="宋体" w:hAnsi="宋体" w:eastAsia="宋体" w:cs="宋体"/>
          <w:snapToGrid w:val="0"/>
          <w:color w:val="000000"/>
          <w:spacing w:val="-6"/>
          <w:kern w:val="0"/>
          <w:sz w:val="20"/>
          <w:szCs w:val="20"/>
          <w:lang w:val="en-US" w:eastAsia="zh-CN" w:bidi="ar"/>
        </w:rPr>
        <w:t>。从一些违反党纪党规的言行看，有不认真学习造成的情况，更有</w:t>
      </w:r>
      <w:r>
        <w:rPr>
          <w:rFonts w:hint="default" w:ascii="Times New Roman" w:hAnsi="Times New Roman" w:eastAsia="宋体" w:cs="Times New Roman"/>
          <w:snapToGrid w:val="0"/>
          <w:color w:val="000000"/>
          <w:spacing w:val="-6"/>
          <w:kern w:val="0"/>
          <w:sz w:val="20"/>
          <w:szCs w:val="20"/>
          <w:lang w:val="en-US" w:eastAsia="zh-CN" w:bidi="ar"/>
        </w:rPr>
        <w:t>________</w:t>
      </w:r>
      <w:r>
        <w:rPr>
          <w:rFonts w:hint="eastAsia" w:ascii="宋体" w:hAnsi="宋体" w:eastAsia="宋体" w:cs="宋体"/>
          <w:snapToGrid w:val="0"/>
          <w:color w:val="000000"/>
          <w:spacing w:val="-6"/>
          <w:kern w:val="0"/>
          <w:sz w:val="20"/>
          <w:szCs w:val="20"/>
          <w:lang w:val="en-US" w:eastAsia="zh-CN" w:bidi="ar"/>
        </w:rPr>
        <w:t>的情况。有的把政治规矩置于脑后，把党的纪律要求</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 xml:space="preserve">，毫无自我约束。纪律不是可松可紧的橡皮筋，不是可有可无的空摆设。 </w:t>
      </w:r>
    </w:p>
    <w:p w14:paraId="418C728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3DD17A0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事与愿违 敷衍了事 视而不见 </w:t>
      </w:r>
    </w:p>
    <w:p w14:paraId="6697D1A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一纸空文 明知故犯 束之高阁 </w:t>
      </w:r>
    </w:p>
    <w:p w14:paraId="529139F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徒劳无功 混淆是非 本末倒置 </w:t>
      </w:r>
    </w:p>
    <w:p w14:paraId="570CE4E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虚有其表 有恃无恐 弃如敝屣 </w:t>
      </w:r>
    </w:p>
    <w:p w14:paraId="0BC5CEE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34EBABC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48.</w:t>
      </w:r>
      <w:r>
        <w:rPr>
          <w:rFonts w:hint="eastAsia" w:ascii="宋体" w:hAnsi="宋体" w:eastAsia="宋体" w:cs="宋体"/>
          <w:snapToGrid w:val="0"/>
          <w:color w:val="000000"/>
          <w:spacing w:val="-6"/>
          <w:kern w:val="0"/>
          <w:sz w:val="20"/>
          <w:szCs w:val="20"/>
          <w:lang w:val="en-US" w:eastAsia="zh-CN" w:bidi="ar"/>
        </w:rPr>
        <w:t>借鉴各地耕保的好经验、好做法，可以少走弯路，但不可将借鉴当作</w:t>
      </w:r>
      <w:r>
        <w:rPr>
          <w:rFonts w:hint="default" w:ascii="Times New Roman" w:hAnsi="Times New Roman" w:eastAsia="宋体" w:cs="Times New Roman"/>
          <w:snapToGrid w:val="0"/>
          <w:color w:val="000000"/>
          <w:spacing w:val="-6"/>
          <w:kern w:val="0"/>
          <w:sz w:val="20"/>
          <w:szCs w:val="20"/>
          <w:lang w:val="en-US" w:eastAsia="zh-CN" w:bidi="ar"/>
        </w:rPr>
        <w:t>_____</w:t>
      </w:r>
      <w:r>
        <w:rPr>
          <w:rFonts w:hint="eastAsia" w:ascii="宋体" w:hAnsi="宋体" w:eastAsia="宋体" w:cs="宋体"/>
          <w:snapToGrid w:val="0"/>
          <w:color w:val="000000"/>
          <w:spacing w:val="-6"/>
          <w:kern w:val="0"/>
          <w:sz w:val="20"/>
          <w:szCs w:val="20"/>
          <w:lang w:val="en-US" w:eastAsia="zh-CN" w:bidi="ar"/>
        </w:rPr>
        <w:t>。比如，平原地区的耕地恢复方法不一定适合山区，粮食主产区与主销区可能</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。有些经验做法依托的是当地经济基础和民风社情，外地可能“借”不来也“学”不好，盲目推广可能导致</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 xml:space="preserve">、劳民伤财。 </w:t>
      </w:r>
    </w:p>
    <w:p w14:paraId="04FFE6B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2366808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套用 背道而驰 功亏一篑 </w:t>
      </w:r>
    </w:p>
    <w:p w14:paraId="17AA02C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复制 截然不同 物极必反 </w:t>
      </w:r>
    </w:p>
    <w:p w14:paraId="72E99C8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效仿 天差地别 弄巧成拙 </w:t>
      </w:r>
    </w:p>
    <w:p w14:paraId="0CF216D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照搬 大相径庭 水土不服 </w:t>
      </w:r>
    </w:p>
    <w:p w14:paraId="06153D4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73461DF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49.</w:t>
      </w:r>
      <w:r>
        <w:rPr>
          <w:rFonts w:hint="eastAsia" w:ascii="宋体" w:hAnsi="宋体" w:eastAsia="宋体" w:cs="宋体"/>
          <w:snapToGrid w:val="0"/>
          <w:color w:val="000000"/>
          <w:spacing w:val="-6"/>
          <w:kern w:val="0"/>
          <w:sz w:val="20"/>
          <w:szCs w:val="20"/>
          <w:lang w:val="en-US" w:eastAsia="zh-CN" w:bidi="ar"/>
        </w:rPr>
        <w:t>循环肿瘤细胞是早期癌症诊断的重要临床标志物，但其数量仅占正常血细胞量的十亿分之一。想要找到它，可谓</w:t>
      </w:r>
      <w:r>
        <w:rPr>
          <w:rFonts w:hint="default" w:ascii="Times New Roman" w:hAnsi="Times New Roman" w:eastAsia="宋体" w:cs="Times New Roman"/>
          <w:snapToGrid w:val="0"/>
          <w:color w:val="000000"/>
          <w:spacing w:val="-6"/>
          <w:kern w:val="0"/>
          <w:sz w:val="20"/>
          <w:szCs w:val="20"/>
          <w:lang w:val="en-US" w:eastAsia="zh-CN" w:bidi="ar"/>
        </w:rPr>
        <w:t>_______</w:t>
      </w:r>
      <w:r>
        <w:rPr>
          <w:rFonts w:hint="eastAsia" w:ascii="宋体" w:hAnsi="宋体" w:eastAsia="宋体" w:cs="宋体"/>
          <w:snapToGrid w:val="0"/>
          <w:color w:val="000000"/>
          <w:spacing w:val="-6"/>
          <w:kern w:val="0"/>
          <w:sz w:val="20"/>
          <w:szCs w:val="20"/>
          <w:lang w:val="en-US" w:eastAsia="zh-CN" w:bidi="ar"/>
        </w:rPr>
        <w:t>。新近研制出的多功能仿生柔性膜，拥有“火眼金睛”，可</w:t>
      </w:r>
      <w:r>
        <w:rPr>
          <w:rFonts w:hint="default" w:ascii="Times New Roman" w:hAnsi="Times New Roman" w:eastAsia="宋体" w:cs="Times New Roman"/>
          <w:snapToGrid w:val="0"/>
          <w:color w:val="000000"/>
          <w:spacing w:val="-6"/>
          <w:kern w:val="0"/>
          <w:sz w:val="20"/>
          <w:szCs w:val="20"/>
          <w:lang w:val="en-US" w:eastAsia="zh-CN" w:bidi="ar"/>
        </w:rPr>
        <w:t>_______</w:t>
      </w:r>
      <w:r>
        <w:rPr>
          <w:rFonts w:hint="eastAsia" w:ascii="宋体" w:hAnsi="宋体" w:eastAsia="宋体" w:cs="宋体"/>
          <w:snapToGrid w:val="0"/>
          <w:color w:val="000000"/>
          <w:spacing w:val="-6"/>
          <w:kern w:val="0"/>
          <w:sz w:val="20"/>
          <w:szCs w:val="20"/>
          <w:lang w:val="en-US" w:eastAsia="zh-CN" w:bidi="ar"/>
        </w:rPr>
        <w:t>“生擒”循环肿瘤细胞，还有媲美人体环境的仿生机制，能将细胞</w:t>
      </w:r>
      <w:r>
        <w:rPr>
          <w:rFonts w:hint="default" w:ascii="Times New Roman" w:hAnsi="Times New Roman" w:eastAsia="宋体" w:cs="Times New Roman"/>
          <w:snapToGrid w:val="0"/>
          <w:color w:val="000000"/>
          <w:spacing w:val="-6"/>
          <w:kern w:val="0"/>
          <w:sz w:val="20"/>
          <w:szCs w:val="20"/>
          <w:lang w:val="en-US" w:eastAsia="zh-CN" w:bidi="ar"/>
        </w:rPr>
        <w:t>_______</w:t>
      </w:r>
      <w:r>
        <w:rPr>
          <w:rFonts w:hint="eastAsia" w:ascii="宋体" w:hAnsi="宋体" w:eastAsia="宋体" w:cs="宋体"/>
          <w:snapToGrid w:val="0"/>
          <w:color w:val="000000"/>
          <w:spacing w:val="-6"/>
          <w:kern w:val="0"/>
          <w:sz w:val="20"/>
          <w:szCs w:val="20"/>
          <w:lang w:val="en-US" w:eastAsia="zh-CN" w:bidi="ar"/>
        </w:rPr>
        <w:t xml:space="preserve">地带回，实现对癌症的分子分型诊断。 </w:t>
      </w:r>
    </w:p>
    <w:p w14:paraId="361F0F9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6117D99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雾里看花 直接 严丝合缝 </w:t>
      </w:r>
    </w:p>
    <w:p w14:paraId="7177C27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异想天开 迅速 轻而易举</w:t>
      </w:r>
    </w:p>
    <w:p w14:paraId="1FA794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无从下手 巧妙 完好无缺 </w:t>
      </w:r>
    </w:p>
    <w:p w14:paraId="26C5427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大海捞针 准确 毫发无损 </w:t>
      </w:r>
    </w:p>
    <w:p w14:paraId="741E0C7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51FCDCA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50.</w:t>
      </w:r>
      <w:r>
        <w:rPr>
          <w:rFonts w:hint="eastAsia" w:ascii="宋体" w:hAnsi="宋体" w:eastAsia="宋体" w:cs="宋体"/>
          <w:snapToGrid w:val="0"/>
          <w:color w:val="000000"/>
          <w:spacing w:val="-6"/>
          <w:kern w:val="0"/>
          <w:sz w:val="20"/>
          <w:szCs w:val="20"/>
          <w:lang w:val="en-US" w:eastAsia="zh-CN" w:bidi="ar"/>
        </w:rPr>
        <w:t>新质生产力既需要政府超前规划引导、科学政策支持，也需要市场机制调节、企业等微观主体不断创新，是政府“有形之手”和市场“无形之手”</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培育和驱动形成的、因此，要深化经济体制、科技体制等改革，着力打通</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新质生产力发展的堵点卡点，建立高标准市场体系，创新生产要素配置方式，让各类先进优质生产要素向发展新质生产力</w:t>
      </w:r>
      <w:r>
        <w:rPr>
          <w:rFonts w:hint="default" w:ascii="Times New Roman" w:hAnsi="Times New Roman" w:eastAsia="宋体" w:cs="Times New Roman"/>
          <w:snapToGrid w:val="0"/>
          <w:color w:val="000000"/>
          <w:spacing w:val="-6"/>
          <w:kern w:val="0"/>
          <w:sz w:val="20"/>
          <w:szCs w:val="20"/>
          <w:lang w:val="en-US" w:eastAsia="zh-CN" w:bidi="ar"/>
        </w:rPr>
        <w:t>______</w:t>
      </w:r>
      <w:r>
        <w:rPr>
          <w:rFonts w:hint="eastAsia" w:ascii="宋体" w:hAnsi="宋体" w:eastAsia="宋体" w:cs="宋体"/>
          <w:snapToGrid w:val="0"/>
          <w:color w:val="000000"/>
          <w:spacing w:val="-6"/>
          <w:kern w:val="0"/>
          <w:sz w:val="20"/>
          <w:szCs w:val="20"/>
          <w:lang w:val="en-US" w:eastAsia="zh-CN" w:bidi="ar"/>
        </w:rPr>
        <w:t xml:space="preserve">流动。 </w:t>
      </w:r>
    </w:p>
    <w:p w14:paraId="1290BC4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依次填入画横线部分最恰当的一项是： </w:t>
      </w:r>
    </w:p>
    <w:p w14:paraId="4274399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联合 羁绊 竞相 </w:t>
      </w:r>
    </w:p>
    <w:p w14:paraId="0540512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系统 制约 自由 </w:t>
      </w:r>
    </w:p>
    <w:p w14:paraId="3B1E0B2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有序 妨碍 高效 </w:t>
      </w:r>
    </w:p>
    <w:p w14:paraId="171E610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共同 束缚 顺畅 </w:t>
      </w:r>
    </w:p>
    <w:p w14:paraId="610DF264">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02E3069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51.</w:t>
      </w:r>
      <w:r>
        <w:rPr>
          <w:rFonts w:hint="eastAsia" w:ascii="宋体" w:hAnsi="宋体" w:eastAsia="宋体" w:cs="宋体"/>
          <w:snapToGrid w:val="0"/>
          <w:color w:val="000000"/>
          <w:spacing w:val="-6"/>
          <w:kern w:val="0"/>
          <w:sz w:val="20"/>
          <w:szCs w:val="20"/>
          <w:lang w:val="en-US" w:eastAsia="zh-CN" w:bidi="ar"/>
        </w:rPr>
        <w:t xml:space="preserve">如果一味沉湎于琐碎的日常事务，缺乏大局观念和政治远见，不分轻重缓急，不从原则高度想问题，就会陷入事务主义。习近平总书记指出：“如果忙忙碌碌，只是机械做事，陷入事务主义，是很难提高认识和工作水平的。”这就意味着，要提高认识水平，必须走出事务主义的泥潭。毛泽东曾经指出：“庸俗的事务主义家不是这样，他们尊重经验而看轻理论，因而不能通观客观过程的全体，缺乏明确的方针，没有远大的前途，沾沾自喜于一得之功和一孔之见。”这为如何走出事务主义提供了指南针和路线图。 </w:t>
      </w:r>
    </w:p>
    <w:p w14:paraId="7280B0C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这段文字认为，为避免陷入事务主义，应该： </w:t>
      </w:r>
    </w:p>
    <w:p w14:paraId="25CA6B7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具有清晰明确的工作方案 </w:t>
      </w:r>
    </w:p>
    <w:p w14:paraId="41FBAA8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坚持从理论高度看待问题 </w:t>
      </w:r>
    </w:p>
    <w:p w14:paraId="4677EAD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不断从实践中总结经验教训 </w:t>
      </w:r>
    </w:p>
    <w:p w14:paraId="39E9893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通过学习补齐能力素质短板 </w:t>
      </w:r>
    </w:p>
    <w:p w14:paraId="23E0302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4FB5ABD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52.</w:t>
      </w:r>
      <w:r>
        <w:rPr>
          <w:rFonts w:hint="eastAsia" w:ascii="宋体" w:hAnsi="宋体" w:eastAsia="宋体" w:cs="宋体"/>
          <w:snapToGrid w:val="0"/>
          <w:color w:val="000000"/>
          <w:spacing w:val="-6"/>
          <w:kern w:val="0"/>
          <w:sz w:val="20"/>
          <w:szCs w:val="20"/>
          <w:lang w:val="en-US" w:eastAsia="zh-CN" w:bidi="ar"/>
        </w:rPr>
        <w:t xml:space="preserve">“足国之道，节用裕民，而善臧其余。”党政机关过紧日子不是一时之需、权宜之策，而是一贯的、长期的、常态化的工作要求，一个国家可调配的资源总量是有限的，唯有坚持该花的花、该省的省，才能集中财力办大事，把更多真金白银用于发展紧要处、民生急需上，一路走来，艰苦奋斗、勤俭节约始终是我们党的优良作风，也是我们党不断发展壮大的重要保证。“党和政府带头过紧日子，目的是为老百姓过好日子”，这本国之大账，是民生大账，亦是民心大账。 </w:t>
      </w:r>
    </w:p>
    <w:p w14:paraId="68974AE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这段文字是一篇文章的开头，最适合做文章标题的是： </w:t>
      </w:r>
    </w:p>
    <w:p w14:paraId="11EB83C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节用裕民，“过紧日子”算的是国之大账 </w:t>
      </w:r>
    </w:p>
    <w:p w14:paraId="740CDCC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严格落实党政机关“过紧日子”的要求 </w:t>
      </w:r>
    </w:p>
    <w:p w14:paraId="5A42442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在“过紧日子”中诠释忠诚干净担当 </w:t>
      </w:r>
    </w:p>
    <w:p w14:paraId="5FE56EB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落实落细，把“过紧日子”的要求贯穿始终 </w:t>
      </w:r>
    </w:p>
    <w:p w14:paraId="5851BCE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6F2C311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53.</w:t>
      </w:r>
      <w:r>
        <w:rPr>
          <w:rFonts w:hint="eastAsia" w:ascii="宋体" w:hAnsi="宋体" w:eastAsia="宋体" w:cs="宋体"/>
          <w:snapToGrid w:val="0"/>
          <w:color w:val="000000"/>
          <w:spacing w:val="-6"/>
          <w:kern w:val="0"/>
          <w:sz w:val="20"/>
          <w:szCs w:val="20"/>
          <w:lang w:val="en-US" w:eastAsia="zh-CN" w:bidi="ar"/>
        </w:rPr>
        <w:t xml:space="preserve">定向能武器是通过定向发射高能激光束、电磁波束、高能粒子束等对目标发起直接攻击的武器。低空无人机飞行速度慢、尺寸小、雷达散射面窄、红外特征弱，普通防空系统难以及时发现和截获，而定向能武器则可利用强激光点杀伤与高功率微波面覆盖相互配合，在低空近程区形成密集拦截网，应对无人机“蜂群”的压制。无人机“蜂群”高度依赖高敏传感器和无线通信设备，飞行越低、密度越大，导航和控制系统越易受外界干扰。此时，定向能武器对其稍加影响，使其联合作战能力受限，即可快速实现对无人机“蜂群”的杀伤。 </w:t>
      </w:r>
    </w:p>
    <w:p w14:paraId="18FA025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这段文字主要介绍了定向能武器</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1D165C3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在无人化战争中的作战模式 </w:t>
      </w:r>
    </w:p>
    <w:p w14:paraId="665284D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应对无人机”蜂梁”的制胜机理 </w:t>
      </w:r>
    </w:p>
    <w:p w14:paraId="59F0E51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实现低空作战的基本原理和核心技术 </w:t>
      </w:r>
    </w:p>
    <w:p w14:paraId="129BF60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具有超越普通防空系统的特点和优势 </w:t>
      </w:r>
    </w:p>
    <w:p w14:paraId="37D618F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126F034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54.</w:t>
      </w:r>
      <w:r>
        <w:rPr>
          <w:rFonts w:hint="eastAsia" w:ascii="宋体" w:hAnsi="宋体" w:eastAsia="宋体" w:cs="宋体"/>
          <w:snapToGrid w:val="0"/>
          <w:color w:val="000000"/>
          <w:spacing w:val="-6"/>
          <w:kern w:val="0"/>
          <w:sz w:val="20"/>
          <w:szCs w:val="20"/>
          <w:lang w:val="en-US" w:eastAsia="zh-CN" w:bidi="ar"/>
        </w:rPr>
        <w:t xml:space="preserve">合唱发端于公元 </w:t>
      </w:r>
      <w:r>
        <w:rPr>
          <w:rFonts w:hint="default" w:ascii="Times New Roman" w:hAnsi="Times New Roman" w:eastAsia="宋体" w:cs="Times New Roman"/>
          <w:snapToGrid w:val="0"/>
          <w:color w:val="000000"/>
          <w:spacing w:val="-6"/>
          <w:kern w:val="0"/>
          <w:sz w:val="20"/>
          <w:szCs w:val="20"/>
          <w:lang w:val="en-US" w:eastAsia="zh-CN" w:bidi="ar"/>
        </w:rPr>
        <w:t xml:space="preserve">6 </w:t>
      </w:r>
      <w:r>
        <w:rPr>
          <w:rFonts w:hint="eastAsia" w:ascii="宋体" w:hAnsi="宋体" w:eastAsia="宋体" w:cs="宋体"/>
          <w:snapToGrid w:val="0"/>
          <w:color w:val="000000"/>
          <w:spacing w:val="-6"/>
          <w:kern w:val="0"/>
          <w:sz w:val="20"/>
          <w:szCs w:val="20"/>
          <w:lang w:val="en-US" w:eastAsia="zh-CN" w:bidi="ar"/>
        </w:rPr>
        <w:t xml:space="preserve">世纪的西方古典音乐，并于 </w:t>
      </w:r>
      <w:r>
        <w:rPr>
          <w:rFonts w:hint="default" w:ascii="Times New Roman" w:hAnsi="Times New Roman" w:eastAsia="宋体" w:cs="Times New Roman"/>
          <w:snapToGrid w:val="0"/>
          <w:color w:val="000000"/>
          <w:spacing w:val="-6"/>
          <w:kern w:val="0"/>
          <w:sz w:val="20"/>
          <w:szCs w:val="20"/>
          <w:lang w:val="en-US" w:eastAsia="zh-CN" w:bidi="ar"/>
        </w:rPr>
        <w:t xml:space="preserve">20 </w:t>
      </w:r>
      <w:r>
        <w:rPr>
          <w:rFonts w:hint="eastAsia" w:ascii="宋体" w:hAnsi="宋体" w:eastAsia="宋体" w:cs="宋体"/>
          <w:snapToGrid w:val="0"/>
          <w:color w:val="000000"/>
          <w:spacing w:val="-6"/>
          <w:kern w:val="0"/>
          <w:sz w:val="20"/>
          <w:szCs w:val="20"/>
          <w:lang w:val="en-US" w:eastAsia="zh-CN" w:bidi="ar"/>
        </w:rPr>
        <w:t xml:space="preserve">世纪初以“学堂乐歌”的方式传入中国。作为一种高度专业化的多声部声乐类别，其千百年来一直在追求创作与演唱技术的发展与精进。过去相当长的时间内，中国的室内合唱更多在音乐专业领域内，或是有一定知识储备的文化圈内开展艺术实践与鉴赏，与普通老百姓的欣赏层面尚有距离，使其推广受到限制。近年来，随着一批合唱团与合唱作品的“改良下沉”，这一艺术形式逐渐亲民，其厚重的古典传统不断被注入轻盈的流行时尚气息，“跨界”属性使合唱频频突破专业视野，吸引大众目光。 </w:t>
      </w:r>
    </w:p>
    <w:p w14:paraId="30F30A44">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这段文字意在说明：</w:t>
      </w:r>
    </w:p>
    <w:p w14:paraId="1A469D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室内合唱和传统合唱存在技术差别 </w:t>
      </w:r>
    </w:p>
    <w:p w14:paraId="10F407E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流行音乐为合唱艺术注入了新活力 </w:t>
      </w:r>
    </w:p>
    <w:p w14:paraId="4364EEA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合唱艺术呈现出亲民化发展趋势 </w:t>
      </w:r>
    </w:p>
    <w:p w14:paraId="4FFFE44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合唱艺术由重技术向重形式转变 </w:t>
      </w:r>
    </w:p>
    <w:p w14:paraId="73CF992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4502FC7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55.____________</w:t>
      </w:r>
      <w:r>
        <w:rPr>
          <w:rFonts w:hint="eastAsia" w:ascii="宋体" w:hAnsi="宋体" w:eastAsia="宋体" w:cs="宋体"/>
          <w:snapToGrid w:val="0"/>
          <w:color w:val="000000"/>
          <w:spacing w:val="-6"/>
          <w:kern w:val="0"/>
          <w:sz w:val="20"/>
          <w:szCs w:val="20"/>
          <w:lang w:val="en-US" w:eastAsia="zh-CN" w:bidi="ar"/>
        </w:rPr>
        <w:t>。农药、化肥和农膜污染是主要的农业面源污染源，在不同程度上影响着耕地生态水平。近年来，在一系列农业绿色发展政策的支持下，农药、化肥和农用塑料薄膜使用量大幅下降，农业面源污染情况持续改善。耕地对于气候调节、水源涵养、生物多样性保护具有重要意义，因此推动耕地高质量保护，提升农田生态系统的稳定性是题中应有之义。目前，一些地方全力打造生态高标准农田，采用“稻田</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生态沟渠</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水塘</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生态塘”等治理模式，不仅有效实现了稻田主要面源污染物的减少，还推动了乡村游等生态产业发展。 </w:t>
      </w:r>
    </w:p>
    <w:p w14:paraId="1491145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填入画横线部分最恰当的一项是： </w:t>
      </w:r>
    </w:p>
    <w:p w14:paraId="4D2624D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落实耕地保护政策，夯实粮食安全根基 </w:t>
      </w:r>
    </w:p>
    <w:p w14:paraId="6A21599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多举措全面发力，推动耕地高质量保护 </w:t>
      </w:r>
    </w:p>
    <w:p w14:paraId="334FE2A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践行绿色生态理念，强化耕地生态功能 </w:t>
      </w:r>
    </w:p>
    <w:p w14:paraId="5EBDE79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加强农业生态投资，助力生态产业发展 </w:t>
      </w:r>
    </w:p>
    <w:p w14:paraId="29ECFE7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4AE4309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56.</w:t>
      </w:r>
      <w:r>
        <w:rPr>
          <w:rFonts w:hint="eastAsia" w:ascii="宋体" w:hAnsi="宋体" w:eastAsia="宋体" w:cs="宋体"/>
          <w:snapToGrid w:val="0"/>
          <w:color w:val="000000"/>
          <w:spacing w:val="-6"/>
          <w:kern w:val="0"/>
          <w:sz w:val="20"/>
          <w:szCs w:val="20"/>
          <w:lang w:val="en-US" w:eastAsia="zh-CN" w:bidi="ar"/>
        </w:rPr>
        <w:t xml:space="preserve">从本质上看，量子雷达成像的原理与传统雷达一致，都是对电磁场携带信息的提取，但二者获取物体信息的物理机制不同，传统成像技术建立在电磁场的确定性理论模型之上，利用电磁场的一阶关联信息，通过记录辐射场的光强或相位分布获取物体的图像信息；而量子成像技术则建立在电磁场的量子统计不确定性理论之上，利用了电磁场的高阶关联信息，通过辐射场分布的强度、相位的空间统计特性获得物体图像信息，因而量子雷达可以获得超越传统雷达系统衍射极限的成像分辨能力。 </w:t>
      </w:r>
    </w:p>
    <w:p w14:paraId="2C9D03E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这段文字无法解释下列哪一问题？ </w:t>
      </w:r>
    </w:p>
    <w:p w14:paraId="5A03137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量子成像技术是如何获得物体图像信息的 </w:t>
      </w:r>
    </w:p>
    <w:p w14:paraId="3BE36F1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传统成像技术与电磁场的确定性理论模型有何关系 </w:t>
      </w:r>
    </w:p>
    <w:p w14:paraId="49F900D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量子雷达与传统雷达的发射信息载体有何不同 </w:t>
      </w:r>
    </w:p>
    <w:p w14:paraId="1A9819C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量子雷达成像分辨能力为何可以超越传统雷达 </w:t>
      </w:r>
    </w:p>
    <w:p w14:paraId="3C6C203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C</w:t>
      </w:r>
    </w:p>
    <w:p w14:paraId="19CDD7C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57.</w:t>
      </w:r>
      <w:r>
        <w:rPr>
          <w:rFonts w:hint="eastAsia" w:ascii="宋体" w:hAnsi="宋体" w:eastAsia="宋体" w:cs="宋体"/>
          <w:snapToGrid w:val="0"/>
          <w:color w:val="000000"/>
          <w:spacing w:val="-6"/>
          <w:kern w:val="0"/>
          <w:sz w:val="20"/>
          <w:szCs w:val="20"/>
          <w:lang w:val="en-US" w:eastAsia="zh-CN" w:bidi="ar"/>
        </w:rPr>
        <w:t xml:space="preserve">随着互联网的发展，网络空间中出现了许多“声音工作者”，以生产解说，配音等相关的数字产品为生。然而，随着技术发展，模仿人声用 </w:t>
      </w:r>
      <w:r>
        <w:rPr>
          <w:rFonts w:hint="default" w:ascii="Times New Roman" w:hAnsi="Times New Roman" w:eastAsia="宋体" w:cs="Times New Roman"/>
          <w:snapToGrid w:val="0"/>
          <w:color w:val="000000"/>
          <w:spacing w:val="-6"/>
          <w:kern w:val="0"/>
          <w:sz w:val="20"/>
          <w:szCs w:val="20"/>
          <w:lang w:val="en-US" w:eastAsia="zh-CN" w:bidi="ar"/>
        </w:rPr>
        <w:t xml:space="preserve">AI </w:t>
      </w:r>
      <w:r>
        <w:rPr>
          <w:rFonts w:hint="eastAsia" w:ascii="宋体" w:hAnsi="宋体" w:eastAsia="宋体" w:cs="宋体"/>
          <w:snapToGrid w:val="0"/>
          <w:color w:val="000000"/>
          <w:spacing w:val="-6"/>
          <w:kern w:val="0"/>
          <w:sz w:val="20"/>
          <w:szCs w:val="20"/>
          <w:lang w:val="en-US" w:eastAsia="zh-CN" w:bidi="ar"/>
        </w:rPr>
        <w:t xml:space="preserve">生产内容逐渐普及，不仅一些具有辨识度的名人声音被滥用，许多“声音工作者”的声纹信息也遭遇侵权风险。民法典规定，对自然人声音的保护参照适用肖像权保护的有关规定。所以，声音权即声音的可辨识性，具有人格属性，可以作为一项人格权益保护的条件，任何自然人的声音均应受到法律的保护，未经许可，擅自使用、许可他人使用录音制品中的声音，构成侵权。 </w:t>
      </w:r>
    </w:p>
    <w:p w14:paraId="556C142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这段文字主要介绍了： </w:t>
      </w:r>
    </w:p>
    <w:p w14:paraId="2F22649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声音权侵权行为构成要件的法律规定 </w:t>
      </w:r>
    </w:p>
    <w:p w14:paraId="7ADAB3E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“声音工作者”职业发展中的权益危机 </w:t>
      </w:r>
    </w:p>
    <w:p w14:paraId="51DB162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技术发展给人格权益保护带来挑战 </w:t>
      </w:r>
    </w:p>
    <w:p w14:paraId="5DE58F7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应用 </w:t>
      </w:r>
      <w:r>
        <w:rPr>
          <w:rFonts w:hint="default" w:ascii="Times New Roman" w:hAnsi="Times New Roman" w:eastAsia="宋体" w:cs="Times New Roman"/>
          <w:snapToGrid w:val="0"/>
          <w:color w:val="000000"/>
          <w:spacing w:val="-6"/>
          <w:kern w:val="0"/>
          <w:sz w:val="20"/>
          <w:szCs w:val="20"/>
          <w:lang w:val="en-US" w:eastAsia="zh-CN" w:bidi="ar"/>
        </w:rPr>
        <w:t xml:space="preserve">AI </w:t>
      </w:r>
      <w:r>
        <w:rPr>
          <w:rFonts w:hint="eastAsia" w:ascii="宋体" w:hAnsi="宋体" w:eastAsia="宋体" w:cs="宋体"/>
          <w:snapToGrid w:val="0"/>
          <w:color w:val="000000"/>
          <w:spacing w:val="-6"/>
          <w:kern w:val="0"/>
          <w:sz w:val="20"/>
          <w:szCs w:val="20"/>
          <w:lang w:val="en-US" w:eastAsia="zh-CN" w:bidi="ar"/>
        </w:rPr>
        <w:t xml:space="preserve">技术模仿人声存在侵权风险 </w:t>
      </w:r>
    </w:p>
    <w:p w14:paraId="752405C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249CA52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58.</w:t>
      </w:r>
      <w:r>
        <w:rPr>
          <w:rFonts w:hint="eastAsia" w:ascii="宋体" w:hAnsi="宋体" w:eastAsia="宋体" w:cs="宋体"/>
          <w:snapToGrid w:val="0"/>
          <w:color w:val="000000"/>
          <w:spacing w:val="-6"/>
          <w:kern w:val="0"/>
          <w:sz w:val="20"/>
          <w:szCs w:val="20"/>
          <w:lang w:val="en-US" w:eastAsia="zh-CN" w:bidi="ar"/>
        </w:rPr>
        <w:t xml:space="preserve">足够的执法权限是基层治理高效运行的必要条件。权限不足，可能导致基层执法需求与实际权力配置之间存在较大张力，让基层治理陷入“看得见的管不着”的低效治理困境；但权限如果过度下放，又可能出现“接不住、管不好”的现象。因此，一方面需要进一步完善执法目录动态调整机制和制度，确保执法职能精准划转、行政职权科学配置；另一方面需要加快完善基层执法事项基准库，建立基层执法事项指导目录，确保执法事项在基层供需精准对接、有效贯通执行、全面落实落细。 </w:t>
      </w:r>
    </w:p>
    <w:p w14:paraId="2CF84A7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这段文字意在强调，基层治理应： </w:t>
      </w:r>
    </w:p>
    <w:p w14:paraId="1556E7A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围绕“精准赋权”，科学动态调整执法权属 </w:t>
      </w:r>
    </w:p>
    <w:p w14:paraId="1F1C800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重视“基层执法”，提升基层执法服务效果 </w:t>
      </w:r>
    </w:p>
    <w:p w14:paraId="3CC2928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加快“权限下放”，精准对接基层执法需求 </w:t>
      </w:r>
    </w:p>
    <w:p w14:paraId="3DC1996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调整“执法目录”，落实落细基层执法事项 </w:t>
      </w:r>
    </w:p>
    <w:p w14:paraId="3D576A4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578233C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59.</w:t>
      </w:r>
      <w:r>
        <w:rPr>
          <w:rFonts w:hint="eastAsia" w:ascii="宋体" w:hAnsi="宋体" w:eastAsia="宋体" w:cs="宋体"/>
          <w:snapToGrid w:val="0"/>
          <w:color w:val="000000"/>
          <w:spacing w:val="-6"/>
          <w:kern w:val="0"/>
          <w:sz w:val="20"/>
          <w:szCs w:val="20"/>
          <w:lang w:val="en-US" w:eastAsia="zh-CN" w:bidi="ar"/>
        </w:rPr>
        <w:t>知识产权相关法律的立法宗旨不仅在于保护私权，而且在于促进科技进步、文化繁荣和经济社会发展，维护公平合理的市场竞争秩序。因此，知识产权纠纷的解决经常涉及社会公共利益。许多知识产权案件涉及复杂技术问题和疑难法律问题，且尚无明确的法律规则可以遵循，故通常审理难度较大。人民法院案例库中的知识产权参考案例所体现的裁判规则，明确了案件的审理思路、裁判逻辑与法律适用，可以有效解决“同案不同判”的司法难题。</w:t>
      </w:r>
    </w:p>
    <w:p w14:paraId="1EDF1C6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这段文字接下来最可能讲的是： </w:t>
      </w:r>
    </w:p>
    <w:p w14:paraId="2F2C194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知识产权参考案例指导司法审判的具体实践 </w:t>
      </w:r>
    </w:p>
    <w:p w14:paraId="3153F60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知识产权案件审判工作难度较大的各种原因 </w:t>
      </w:r>
    </w:p>
    <w:p w14:paraId="0C46BBD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进一步优化人民法院案例库建设的主要思路 </w:t>
      </w:r>
    </w:p>
    <w:p w14:paraId="4F092A5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案例库建设对提升案件审判质效的重要意义 </w:t>
      </w:r>
    </w:p>
    <w:p w14:paraId="5985919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1329556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60.</w:t>
      </w:r>
      <w:r>
        <w:rPr>
          <w:rFonts w:hint="eastAsia" w:ascii="宋体" w:hAnsi="宋体" w:eastAsia="宋体" w:cs="宋体"/>
          <w:snapToGrid w:val="0"/>
          <w:color w:val="000000"/>
          <w:spacing w:val="-6"/>
          <w:kern w:val="0"/>
          <w:sz w:val="20"/>
          <w:szCs w:val="20"/>
          <w:lang w:val="en-US" w:eastAsia="zh-CN" w:bidi="ar"/>
        </w:rPr>
        <w:t xml:space="preserve">近百年来，对于天然气水合物的研究通常是保压取样后在实验室进行，或在耐压舱中模拟水合物的形成分解。但由于深海与海面之间压力和温度的差异，在样品回收过程中，天然气水合物的一些性质会被破坏，实验室的模拟舱也很难还原深海复杂的环境条件，拉曼光谱技术能在深海原位环境中对天然气水合物进行直接研究，在这项技术中，激光通过光纤系统传输到深海，并与待测样品发生拉曼散射，通过采集和分析散射光谱，可获得样品组分、结构和理化性质等信息。 </w:t>
      </w:r>
    </w:p>
    <w:p w14:paraId="3789233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这段文字没有提及： </w:t>
      </w:r>
    </w:p>
    <w:p w14:paraId="19BC6F7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天然气水合物样品性质被破坏的原因 </w:t>
      </w:r>
    </w:p>
    <w:p w14:paraId="341966E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深海环境对应用拉曼光谱技术的限制 </w:t>
      </w:r>
    </w:p>
    <w:p w14:paraId="74A29D3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在实验室模拟舱研究天然气水合物的弊端 </w:t>
      </w:r>
    </w:p>
    <w:p w14:paraId="3FC2277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拉曼光谱技术对研究天然气水合物的优势 </w:t>
      </w:r>
    </w:p>
    <w:p w14:paraId="75DFF01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463C84F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61.</w:t>
      </w:r>
      <w:r>
        <w:rPr>
          <w:rFonts w:hint="eastAsia" w:ascii="宋体" w:hAnsi="宋体" w:eastAsia="宋体" w:cs="宋体"/>
          <w:snapToGrid w:val="0"/>
          <w:color w:val="000000"/>
          <w:spacing w:val="-6"/>
          <w:kern w:val="0"/>
          <w:sz w:val="20"/>
          <w:szCs w:val="20"/>
          <w:lang w:val="en-US" w:eastAsia="zh-CN" w:bidi="ar"/>
        </w:rPr>
        <w:t xml:space="preserve">①严格执法与公正司法是相辅相成的 </w:t>
      </w:r>
    </w:p>
    <w:p w14:paraId="207BF8D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②加强行政执法与刑事司法衔接，是为了确保二者之间既能互不干扰，又能高效转换，从而更有力地实施法律 </w:t>
      </w:r>
    </w:p>
    <w:p w14:paraId="38DD0E3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③前端为后端减负、后端为前端增力，才能更好地让严格执法与公正司法共同发力、促进法律有效实施，保障社会公平正义 </w:t>
      </w:r>
    </w:p>
    <w:p w14:paraId="0363887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④特别是在环境保护、食品安全等关系人民切身利益的重点领域，行政执法与刑事司法脱节会导致法律威慑力不足 </w:t>
      </w:r>
    </w:p>
    <w:p w14:paraId="25B16F0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⑤习近平总书记指出：“要加强行政执法与刑事司法有机衔接，坚决克服有案不移、有案难移、以罚代刑等现象。” </w:t>
      </w:r>
    </w:p>
    <w:p w14:paraId="27B101A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⑥严格执法位于前端，通过行政手段依法保障人民群众的生命财产安全；公正司法位于后端，定分止争，是公平正义的最后一道防线</w:t>
      </w:r>
    </w:p>
    <w:p w14:paraId="6BB6E09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将以上 </w:t>
      </w:r>
      <w:r>
        <w:rPr>
          <w:rFonts w:hint="default" w:ascii="Times New Roman" w:hAnsi="Times New Roman" w:eastAsia="宋体" w:cs="Times New Roman"/>
          <w:snapToGrid w:val="0"/>
          <w:color w:val="000000"/>
          <w:spacing w:val="-6"/>
          <w:kern w:val="0"/>
          <w:sz w:val="20"/>
          <w:szCs w:val="20"/>
          <w:lang w:val="en-US" w:eastAsia="zh-CN" w:bidi="ar"/>
        </w:rPr>
        <w:t xml:space="preserve">6 </w:t>
      </w:r>
      <w:r>
        <w:rPr>
          <w:rFonts w:hint="eastAsia" w:ascii="宋体" w:hAnsi="宋体" w:eastAsia="宋体" w:cs="宋体"/>
          <w:snapToGrid w:val="0"/>
          <w:color w:val="000000"/>
          <w:spacing w:val="-6"/>
          <w:kern w:val="0"/>
          <w:sz w:val="20"/>
          <w:szCs w:val="20"/>
          <w:lang w:val="en-US" w:eastAsia="zh-CN" w:bidi="ar"/>
        </w:rPr>
        <w:t xml:space="preserve">个句子重新排列，语序正确的一项是： </w:t>
      </w:r>
    </w:p>
    <w:p w14:paraId="58548C4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①⑥⑤②④③ </w:t>
      </w:r>
    </w:p>
    <w:p w14:paraId="349D5BB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①②④⑤③⑥ </w:t>
      </w:r>
    </w:p>
    <w:p w14:paraId="6FEB726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⑤③⑥④①② </w:t>
      </w:r>
    </w:p>
    <w:p w14:paraId="5C0B30C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⑤⑥②③①④ </w:t>
      </w:r>
    </w:p>
    <w:p w14:paraId="0BC6D444">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2B066A0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62.</w:t>
      </w:r>
      <w:r>
        <w:rPr>
          <w:rFonts w:hint="eastAsia" w:ascii="宋体" w:hAnsi="宋体" w:eastAsia="宋体" w:cs="宋体"/>
          <w:snapToGrid w:val="0"/>
          <w:color w:val="000000"/>
          <w:spacing w:val="-6"/>
          <w:kern w:val="0"/>
          <w:sz w:val="20"/>
          <w:szCs w:val="20"/>
          <w:lang w:val="en-US" w:eastAsia="zh-CN" w:bidi="ar"/>
        </w:rPr>
        <w:t xml:space="preserve">①绝缘问题已不是一般材料的简单组合和简单工艺所能解决，而需要有一些特定性能的材料，针对具体的绝缘要求做成特定形式的结构才能适应需要 </w:t>
      </w:r>
    </w:p>
    <w:p w14:paraId="0712D4E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②随着技术发展，社会对电工产品的经济效益和性能稳定性的要求不断提高，绝缘材料才从材料的大类里分离而出 </w:t>
      </w:r>
    </w:p>
    <w:p w14:paraId="71B8BE8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③在电工技术发展初期，电工产品对绝缘的要求不高，一般天然材料如棉、麻、丝等纤维，松香，石蜡等有机物质即可满足使用要求 </w:t>
      </w:r>
    </w:p>
    <w:p w14:paraId="1EEF28D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④这样一来，一批多功能的协和性组合绝缘结构得到了开发，绝缘技术也发展到了一个新的阶段 </w:t>
      </w:r>
    </w:p>
    <w:p w14:paraId="5BAA623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⑤因而，当时没有专门用于绝缘的材料，也没有绝缘工艺和绝缘结构的概念 </w:t>
      </w:r>
    </w:p>
    <w:p w14:paraId="4E8F980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⑧随着使用电压的不断提高，电工产品使用领域的扩展，环境因素对绝缘的影响越来越显著 </w:t>
      </w:r>
    </w:p>
    <w:p w14:paraId="6813BFB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将以上 </w:t>
      </w:r>
      <w:r>
        <w:rPr>
          <w:rFonts w:hint="default" w:ascii="Times New Roman" w:hAnsi="Times New Roman" w:eastAsia="宋体" w:cs="Times New Roman"/>
          <w:snapToGrid w:val="0"/>
          <w:color w:val="000000"/>
          <w:spacing w:val="-6"/>
          <w:kern w:val="0"/>
          <w:sz w:val="20"/>
          <w:szCs w:val="20"/>
          <w:lang w:val="en-US" w:eastAsia="zh-CN" w:bidi="ar"/>
        </w:rPr>
        <w:t xml:space="preserve">6 </w:t>
      </w:r>
      <w:r>
        <w:rPr>
          <w:rFonts w:hint="eastAsia" w:ascii="宋体" w:hAnsi="宋体" w:eastAsia="宋体" w:cs="宋体"/>
          <w:snapToGrid w:val="0"/>
          <w:color w:val="000000"/>
          <w:spacing w:val="-6"/>
          <w:kern w:val="0"/>
          <w:sz w:val="20"/>
          <w:szCs w:val="20"/>
          <w:lang w:val="en-US" w:eastAsia="zh-CN" w:bidi="ar"/>
        </w:rPr>
        <w:t xml:space="preserve">个句子重新排列，语序正确的一项是： </w:t>
      </w:r>
    </w:p>
    <w:p w14:paraId="25A1ACE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②③⑤⑥④① </w:t>
      </w:r>
    </w:p>
    <w:p w14:paraId="563453A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②③⑥⑤①④ </w:t>
      </w:r>
    </w:p>
    <w:p w14:paraId="6DAB0DF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③⑤②⑥①④ </w:t>
      </w:r>
    </w:p>
    <w:p w14:paraId="0447AFA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③⑤⑥②④① </w:t>
      </w:r>
    </w:p>
    <w:p w14:paraId="5B1EF60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2A53218A">
      <w:pPr>
        <w:keepNext w:val="0"/>
        <w:keepLines w:val="0"/>
        <w:widowControl/>
        <w:numPr>
          <w:ilvl w:val="0"/>
          <w:numId w:val="3"/>
        </w:numPr>
        <w:suppressLineNumbers w:val="0"/>
        <w:jc w:val="left"/>
        <w:rPr>
          <w:rFonts w:hint="eastAsia" w:ascii="宋体" w:hAnsi="宋体" w:eastAsia="宋体" w:cs="宋体"/>
          <w:snapToGrid w:val="0"/>
          <w:color w:val="000000"/>
          <w:spacing w:val="-6"/>
          <w:kern w:val="0"/>
          <w:sz w:val="20"/>
          <w:szCs w:val="20"/>
          <w:lang w:val="en-US" w:eastAsia="zh-CN" w:bidi="ar"/>
        </w:rPr>
      </w:pPr>
      <w:r>
        <w:rPr>
          <w:rFonts w:hint="eastAsia" w:ascii="宋体" w:hAnsi="宋体" w:eastAsia="宋体" w:cs="宋体"/>
          <w:snapToGrid w:val="0"/>
          <w:color w:val="000000"/>
          <w:spacing w:val="-6"/>
          <w:kern w:val="0"/>
          <w:sz w:val="20"/>
          <w:szCs w:val="20"/>
          <w:lang w:val="en-US" w:eastAsia="zh-CN" w:bidi="ar"/>
        </w:rPr>
        <w:t>由于缺乏现代科技手段，古代城市排水系统将依托地形、自流排水的理念贯穿在城市规划设计中。因此，</w:t>
      </w:r>
      <w:r>
        <w:rPr>
          <w:rFonts w:hint="default" w:ascii="Times New Roman" w:hAnsi="Times New Roman" w:eastAsia="宋体" w:cs="Times New Roman"/>
          <w:snapToGrid w:val="0"/>
          <w:color w:val="000000"/>
          <w:spacing w:val="-6"/>
          <w:kern w:val="0"/>
          <w:sz w:val="20"/>
          <w:szCs w:val="20"/>
          <w:lang w:val="en-US" w:eastAsia="zh-CN" w:bidi="ar"/>
        </w:rPr>
        <w:t>_________</w:t>
      </w:r>
      <w:r>
        <w:rPr>
          <w:rFonts w:hint="eastAsia" w:ascii="宋体" w:hAnsi="宋体" w:eastAsia="宋体" w:cs="宋体"/>
          <w:snapToGrid w:val="0"/>
          <w:color w:val="000000"/>
          <w:spacing w:val="-6"/>
          <w:kern w:val="0"/>
          <w:sz w:val="20"/>
          <w:szCs w:val="20"/>
          <w:lang w:val="en-US" w:eastAsia="zh-CN" w:bidi="ar"/>
        </w:rPr>
        <w:t>。元朝时期，大都的排水系统的规划设计与城市总体布局的规划设计同时进行，排水设施的建造先于或与城市道路、官殿、城墙的建设同步，系统设计地下管网的高度差，充分发挥“水往低处流”的概念，使城市的内涝现象和污水溢出现象得到进一步缓解。明清首都北京的排水格局也基本保持了元朝的设计。</w:t>
      </w:r>
    </w:p>
    <w:p w14:paraId="6A4F2805">
      <w:pPr>
        <w:keepNext w:val="0"/>
        <w:keepLines w:val="0"/>
        <w:widowControl/>
        <w:numPr>
          <w:ilvl w:val="0"/>
          <w:numId w:val="0"/>
        </w:numPr>
        <w:suppressLineNumbers w:val="0"/>
        <w:jc w:val="left"/>
      </w:pPr>
      <w:r>
        <w:rPr>
          <w:rFonts w:hint="eastAsia" w:ascii="宋体" w:hAnsi="宋体" w:eastAsia="宋体" w:cs="宋体"/>
          <w:snapToGrid w:val="0"/>
          <w:color w:val="000000"/>
          <w:spacing w:val="-6"/>
          <w:kern w:val="0"/>
          <w:sz w:val="20"/>
          <w:szCs w:val="20"/>
          <w:lang w:val="en-US" w:eastAsia="zh-CN" w:bidi="ar"/>
        </w:rPr>
        <w:t>填入画横线部分最恰当的一项是：</w:t>
      </w:r>
    </w:p>
    <w:p w14:paraId="14A94DD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排水系统的设计也需要结合建筑的特点“量体裁衣” </w:t>
      </w:r>
    </w:p>
    <w:p w14:paraId="22957DD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城市排水的运行效率非常依赖工程人员对地势的把握 </w:t>
      </w:r>
    </w:p>
    <w:p w14:paraId="5DE64CE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具备较完整的城市管网及排水体系是城市建设的关键 </w:t>
      </w:r>
    </w:p>
    <w:p w14:paraId="5060104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地下管网的功能主要聚焦在供水、排污、排涝等方面 </w:t>
      </w:r>
    </w:p>
    <w:p w14:paraId="54DF964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001D702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64.</w:t>
      </w:r>
      <w:r>
        <w:rPr>
          <w:rFonts w:hint="eastAsia" w:ascii="宋体" w:hAnsi="宋体" w:eastAsia="宋体" w:cs="宋体"/>
          <w:snapToGrid w:val="0"/>
          <w:color w:val="000000"/>
          <w:spacing w:val="-6"/>
          <w:kern w:val="0"/>
          <w:sz w:val="20"/>
          <w:szCs w:val="20"/>
          <w:lang w:val="en-US" w:eastAsia="zh-CN" w:bidi="ar"/>
        </w:rPr>
        <w:t xml:space="preserve">相比高校和科研机构，企业处于市场最前沿，对有市场潜力的技术感知更灵敏，对产业发展趋势的把握更敏锐。因此，在颠覆性技术的研发、转移转化过程中，需要强化企业科技创新主体地位。在课题立项中，要加快提升企业技术创新决策的主体地位，建立企业常态化参与国家科技创新决策的机制；在创新过程中，要着力强化企业科研组织的主体地位，支持领军企业聚焦国家重大需求，牵头组建创新联合体，加快形成企业主导的产学研深度融合。同时，人才、经费等创新要素也要加快向企业特别是科技领军企业集聚。 </w:t>
      </w:r>
    </w:p>
    <w:p w14:paraId="02E3BC9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这段文字意在说明： </w:t>
      </w:r>
    </w:p>
    <w:p w14:paraId="6F930E7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应着力完善国家科技创新决策的体制机制 </w:t>
      </w:r>
    </w:p>
    <w:p w14:paraId="7D4D73F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颠覆性技术创新需重视并发挥企业的作用 </w:t>
      </w:r>
    </w:p>
    <w:p w14:paraId="5B5BCBC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要大力推进颠覆性技术的研发及转移转化 </w:t>
      </w:r>
    </w:p>
    <w:p w14:paraId="0ADE33D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创新要素的大量积聚有助于企业技术创新 </w:t>
      </w:r>
    </w:p>
    <w:p w14:paraId="785928F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5006F73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65.</w:t>
      </w:r>
      <w:r>
        <w:rPr>
          <w:rFonts w:hint="eastAsia" w:ascii="宋体" w:hAnsi="宋体" w:eastAsia="宋体" w:cs="宋体"/>
          <w:snapToGrid w:val="0"/>
          <w:color w:val="000000"/>
          <w:spacing w:val="-6"/>
          <w:kern w:val="0"/>
          <w:sz w:val="20"/>
          <w:szCs w:val="20"/>
          <w:lang w:val="en-US" w:eastAsia="zh-CN" w:bidi="ar"/>
        </w:rPr>
        <w:t xml:space="preserve">织纹螺主要分布于中国东南沿海，一般生活在近海礁石附近和泥沙底，自身并不产毒，其毒素来源于摄入的带毒海藻，织纹螺使人中毒的毒素主要是麻痹性贝类毒素，其中的石房蛤毒素是已知毒性最强的海洋生物毒素之一，它通过阻断神经细胞膜中的钠通道而引起麻痹，毒性是眼镜蛇毒的 </w:t>
      </w:r>
      <w:r>
        <w:rPr>
          <w:rFonts w:hint="default" w:ascii="Times New Roman" w:hAnsi="Times New Roman" w:eastAsia="宋体" w:cs="Times New Roman"/>
          <w:snapToGrid w:val="0"/>
          <w:color w:val="000000"/>
          <w:spacing w:val="-6"/>
          <w:kern w:val="0"/>
          <w:sz w:val="20"/>
          <w:szCs w:val="20"/>
          <w:lang w:val="en-US" w:eastAsia="zh-CN" w:bidi="ar"/>
        </w:rPr>
        <w:t xml:space="preserve">80 </w:t>
      </w:r>
      <w:r>
        <w:rPr>
          <w:rFonts w:hint="eastAsia" w:ascii="宋体" w:hAnsi="宋体" w:eastAsia="宋体" w:cs="宋体"/>
          <w:snapToGrid w:val="0"/>
          <w:color w:val="000000"/>
          <w:spacing w:val="-6"/>
          <w:kern w:val="0"/>
          <w:sz w:val="20"/>
          <w:szCs w:val="20"/>
          <w:lang w:val="en-US" w:eastAsia="zh-CN" w:bidi="ar"/>
        </w:rPr>
        <w:t xml:space="preserve">倍；另外还有河豚毒素，这是自然界发现的毒性最强的神经毒素之一，其毒性比氰化钠还强 </w:t>
      </w:r>
      <w:r>
        <w:rPr>
          <w:rFonts w:hint="default" w:ascii="Times New Roman" w:hAnsi="Times New Roman" w:eastAsia="宋体" w:cs="Times New Roman"/>
          <w:snapToGrid w:val="0"/>
          <w:color w:val="000000"/>
          <w:spacing w:val="-6"/>
          <w:kern w:val="0"/>
          <w:sz w:val="20"/>
          <w:szCs w:val="20"/>
          <w:lang w:val="en-US" w:eastAsia="zh-CN" w:bidi="ar"/>
        </w:rPr>
        <w:t xml:space="preserve">1000 </w:t>
      </w:r>
      <w:r>
        <w:rPr>
          <w:rFonts w:hint="eastAsia" w:ascii="宋体" w:hAnsi="宋体" w:eastAsia="宋体" w:cs="宋体"/>
          <w:snapToGrid w:val="0"/>
          <w:color w:val="000000"/>
          <w:spacing w:val="-6"/>
          <w:kern w:val="0"/>
          <w:sz w:val="20"/>
          <w:szCs w:val="20"/>
          <w:lang w:val="en-US" w:eastAsia="zh-CN" w:bidi="ar"/>
        </w:rPr>
        <w:t>多倍，</w:t>
      </w:r>
      <w:r>
        <w:rPr>
          <w:rFonts w:hint="default" w:ascii="Times New Roman" w:hAnsi="Times New Roman" w:eastAsia="宋体" w:cs="Times New Roman"/>
          <w:snapToGrid w:val="0"/>
          <w:color w:val="000000"/>
          <w:spacing w:val="-6"/>
          <w:kern w:val="0"/>
          <w:sz w:val="20"/>
          <w:szCs w:val="20"/>
          <w:lang w:val="en-US" w:eastAsia="zh-CN" w:bidi="ar"/>
        </w:rPr>
        <w:t xml:space="preserve">0.5 </w:t>
      </w:r>
      <w:r>
        <w:rPr>
          <w:rFonts w:hint="eastAsia" w:ascii="宋体" w:hAnsi="宋体" w:eastAsia="宋体" w:cs="宋体"/>
          <w:snapToGrid w:val="0"/>
          <w:color w:val="000000"/>
          <w:spacing w:val="-6"/>
          <w:kern w:val="0"/>
          <w:sz w:val="20"/>
          <w:szCs w:val="20"/>
          <w:lang w:val="en-US" w:eastAsia="zh-CN" w:bidi="ar"/>
        </w:rPr>
        <w:t xml:space="preserve">毫克即可致人死亡。这两种毒素的化学性质非常稳定，煮沸、盐腌、日晒等均不能将其破坏，所以吃上一颗织纹螺就可能致人死亡。 </w:t>
      </w:r>
    </w:p>
    <w:p w14:paraId="4FDFC19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这段文字没有解释下列哪一问题？ </w:t>
      </w:r>
    </w:p>
    <w:p w14:paraId="668F0DF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河豚毒素的毒性为何比氰化钠更强 </w:t>
      </w:r>
    </w:p>
    <w:p w14:paraId="522233A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织纹螺携带的毒素是从哪里来的 </w:t>
      </w:r>
    </w:p>
    <w:p w14:paraId="62110FA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石房蛤毒素是如何使人体麻痹的 </w:t>
      </w:r>
    </w:p>
    <w:p w14:paraId="79B5252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为何加工过的织纹螺仍然含有毒素 </w:t>
      </w:r>
    </w:p>
    <w:p w14:paraId="7E610F4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A</w:t>
      </w:r>
    </w:p>
    <w:p w14:paraId="6980754C">
      <w:pPr>
        <w:keepNext w:val="0"/>
        <w:keepLines w:val="0"/>
        <w:widowControl/>
        <w:suppressLineNumbers w:val="0"/>
        <w:jc w:val="left"/>
      </w:pPr>
    </w:p>
    <w:p w14:paraId="2136D84A">
      <w:pPr>
        <w:keepNext w:val="0"/>
        <w:keepLines w:val="0"/>
        <w:widowControl/>
        <w:suppressLineNumbers w:val="0"/>
        <w:jc w:val="left"/>
      </w:pPr>
    </w:p>
    <w:p w14:paraId="129BB547">
      <w:pPr>
        <w:keepNext w:val="0"/>
        <w:keepLines w:val="0"/>
        <w:widowControl/>
        <w:suppressLineNumbers w:val="0"/>
        <w:jc w:val="left"/>
      </w:pPr>
    </w:p>
    <w:p w14:paraId="73B87ECD">
      <w:pPr>
        <w:keepNext w:val="0"/>
        <w:keepLines w:val="0"/>
        <w:widowControl/>
        <w:numPr>
          <w:ilvl w:val="0"/>
          <w:numId w:val="2"/>
        </w:numPr>
        <w:suppressLineNumbers w:val="0"/>
        <w:ind w:left="0" w:leftChars="0" w:firstLine="0" w:firstLineChars="0"/>
        <w:jc w:val="center"/>
        <w:rPr>
          <w:rFonts w:hint="eastAsia" w:ascii="宋体" w:hAnsi="宋体" w:eastAsia="宋体" w:cs="宋体"/>
          <w:b/>
          <w:bCs/>
          <w:snapToGrid w:val="0"/>
          <w:color w:val="000000"/>
          <w:spacing w:val="-6"/>
          <w:kern w:val="0"/>
          <w:sz w:val="30"/>
          <w:szCs w:val="30"/>
          <w:lang w:val="en-US" w:eastAsia="zh-CN" w:bidi="ar"/>
        </w:rPr>
      </w:pPr>
      <w:r>
        <w:rPr>
          <w:rFonts w:hint="eastAsia" w:ascii="宋体" w:hAnsi="宋体" w:eastAsia="宋体" w:cs="宋体"/>
          <w:b/>
          <w:bCs/>
          <w:snapToGrid w:val="0"/>
          <w:color w:val="000000"/>
          <w:spacing w:val="-6"/>
          <w:kern w:val="0"/>
          <w:sz w:val="30"/>
          <w:szCs w:val="30"/>
          <w:lang w:val="en-US" w:eastAsia="zh-CN" w:bidi="ar"/>
        </w:rPr>
        <w:t>数量关系</w:t>
      </w:r>
    </w:p>
    <w:p w14:paraId="2428B7B1">
      <w:pPr>
        <w:keepNext w:val="0"/>
        <w:keepLines w:val="0"/>
        <w:widowControl/>
        <w:numPr>
          <w:ilvl w:val="0"/>
          <w:numId w:val="0"/>
        </w:numPr>
        <w:suppressLineNumbers w:val="0"/>
        <w:ind w:leftChars="0"/>
        <w:jc w:val="both"/>
        <w:rPr>
          <w:rFonts w:hint="eastAsia" w:ascii="宋体" w:hAnsi="宋体" w:eastAsia="宋体" w:cs="宋体"/>
          <w:b/>
          <w:bCs/>
          <w:snapToGrid w:val="0"/>
          <w:color w:val="000000"/>
          <w:spacing w:val="-6"/>
          <w:kern w:val="0"/>
          <w:sz w:val="30"/>
          <w:szCs w:val="30"/>
          <w:lang w:val="en-US" w:eastAsia="zh-CN" w:bidi="ar"/>
        </w:rPr>
      </w:pPr>
    </w:p>
    <w:p w14:paraId="73BFD85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66.</w:t>
      </w:r>
      <w:r>
        <w:rPr>
          <w:rFonts w:hint="eastAsia" w:ascii="宋体" w:hAnsi="宋体" w:eastAsia="宋体" w:cs="宋体"/>
          <w:snapToGrid w:val="0"/>
          <w:color w:val="000000"/>
          <w:spacing w:val="-6"/>
          <w:kern w:val="0"/>
          <w:sz w:val="20"/>
          <w:szCs w:val="20"/>
          <w:lang w:val="en-US" w:eastAsia="zh-CN" w:bidi="ar"/>
        </w:rPr>
        <w:t xml:space="preserve">甲、乙、丙 </w:t>
      </w:r>
      <w:r>
        <w:rPr>
          <w:rFonts w:hint="default" w:ascii="Times New Roman" w:hAnsi="Times New Roman" w:eastAsia="宋体" w:cs="Times New Roman"/>
          <w:snapToGrid w:val="0"/>
          <w:color w:val="000000"/>
          <w:spacing w:val="-6"/>
          <w:kern w:val="0"/>
          <w:sz w:val="20"/>
          <w:szCs w:val="20"/>
          <w:lang w:val="en-US" w:eastAsia="zh-CN" w:bidi="ar"/>
        </w:rPr>
        <w:t xml:space="preserve">3 </w:t>
      </w:r>
      <w:r>
        <w:rPr>
          <w:rFonts w:hint="eastAsia" w:ascii="宋体" w:hAnsi="宋体" w:eastAsia="宋体" w:cs="宋体"/>
          <w:snapToGrid w:val="0"/>
          <w:color w:val="000000"/>
          <w:spacing w:val="-6"/>
          <w:kern w:val="0"/>
          <w:sz w:val="20"/>
          <w:szCs w:val="20"/>
          <w:lang w:val="en-US" w:eastAsia="zh-CN" w:bidi="ar"/>
        </w:rPr>
        <w:t xml:space="preserve">台收割机每小时均能收割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亩小麦，三台机器上午先后开始收割工作，</w:t>
      </w:r>
      <w:r>
        <w:rPr>
          <w:rFonts w:hint="default" w:ascii="Times New Roman" w:hAnsi="Times New Roman" w:eastAsia="宋体" w:cs="Times New Roman"/>
          <w:snapToGrid w:val="0"/>
          <w:color w:val="000000"/>
          <w:spacing w:val="-6"/>
          <w:kern w:val="0"/>
          <w:sz w:val="20"/>
          <w:szCs w:val="20"/>
          <w:lang w:val="en-US" w:eastAsia="zh-CN" w:bidi="ar"/>
        </w:rPr>
        <w:t xml:space="preserve">12:00 </w:t>
      </w:r>
      <w:r>
        <w:rPr>
          <w:rFonts w:hint="eastAsia" w:ascii="宋体" w:hAnsi="宋体" w:eastAsia="宋体" w:cs="宋体"/>
          <w:snapToGrid w:val="0"/>
          <w:color w:val="000000"/>
          <w:spacing w:val="-6"/>
          <w:kern w:val="0"/>
          <w:sz w:val="20"/>
          <w:szCs w:val="20"/>
          <w:lang w:val="en-US" w:eastAsia="zh-CN" w:bidi="ar"/>
        </w:rPr>
        <w:t xml:space="preserve">时甲收割的面积是乙的 </w:t>
      </w:r>
      <w:r>
        <w:rPr>
          <w:rFonts w:hint="default" w:ascii="Times New Roman" w:hAnsi="Times New Roman" w:eastAsia="宋体" w:cs="Times New Roman"/>
          <w:snapToGrid w:val="0"/>
          <w:color w:val="000000"/>
          <w:spacing w:val="-6"/>
          <w:kern w:val="0"/>
          <w:sz w:val="20"/>
          <w:szCs w:val="20"/>
          <w:lang w:val="en-US" w:eastAsia="zh-CN" w:bidi="ar"/>
        </w:rPr>
        <w:t xml:space="preserve">1.5 </w:t>
      </w:r>
      <w:r>
        <w:rPr>
          <w:rFonts w:hint="eastAsia" w:ascii="宋体" w:hAnsi="宋体" w:eastAsia="宋体" w:cs="宋体"/>
          <w:snapToGrid w:val="0"/>
          <w:color w:val="000000"/>
          <w:spacing w:val="-6"/>
          <w:kern w:val="0"/>
          <w:sz w:val="20"/>
          <w:szCs w:val="20"/>
          <w:lang w:val="en-US" w:eastAsia="zh-CN" w:bidi="ar"/>
        </w:rPr>
        <w:t xml:space="preserve">倍，且比丙多收割 </w:t>
      </w:r>
      <w:r>
        <w:rPr>
          <w:rFonts w:hint="default" w:ascii="Times New Roman" w:hAnsi="Times New Roman" w:eastAsia="宋体" w:cs="Times New Roman"/>
          <w:snapToGrid w:val="0"/>
          <w:color w:val="000000"/>
          <w:spacing w:val="-6"/>
          <w:kern w:val="0"/>
          <w:sz w:val="20"/>
          <w:szCs w:val="20"/>
          <w:lang w:val="en-US" w:eastAsia="zh-CN" w:bidi="ar"/>
        </w:rPr>
        <w:t xml:space="preserve">6 </w:t>
      </w:r>
      <w:r>
        <w:rPr>
          <w:rFonts w:hint="eastAsia" w:ascii="宋体" w:hAnsi="宋体" w:eastAsia="宋体" w:cs="宋体"/>
          <w:snapToGrid w:val="0"/>
          <w:color w:val="000000"/>
          <w:spacing w:val="-6"/>
          <w:kern w:val="0"/>
          <w:sz w:val="20"/>
          <w:szCs w:val="20"/>
          <w:lang w:val="en-US" w:eastAsia="zh-CN" w:bidi="ar"/>
        </w:rPr>
        <w:t>亩，</w:t>
      </w:r>
      <w:r>
        <w:rPr>
          <w:rFonts w:hint="default" w:ascii="Times New Roman" w:hAnsi="Times New Roman" w:eastAsia="宋体" w:cs="Times New Roman"/>
          <w:snapToGrid w:val="0"/>
          <w:color w:val="000000"/>
          <w:spacing w:val="-6"/>
          <w:kern w:val="0"/>
          <w:sz w:val="20"/>
          <w:szCs w:val="20"/>
          <w:lang w:val="en-US" w:eastAsia="zh-CN" w:bidi="ar"/>
        </w:rPr>
        <w:t xml:space="preserve">16:00 </w:t>
      </w:r>
      <w:r>
        <w:rPr>
          <w:rFonts w:hint="eastAsia" w:ascii="宋体" w:hAnsi="宋体" w:eastAsia="宋体" w:cs="宋体"/>
          <w:snapToGrid w:val="0"/>
          <w:color w:val="000000"/>
          <w:spacing w:val="-6"/>
          <w:kern w:val="0"/>
          <w:sz w:val="20"/>
          <w:szCs w:val="20"/>
          <w:lang w:val="en-US" w:eastAsia="zh-CN" w:bidi="ar"/>
        </w:rPr>
        <w:t xml:space="preserve">时 </w:t>
      </w:r>
      <w:r>
        <w:rPr>
          <w:rFonts w:hint="default" w:ascii="Times New Roman" w:hAnsi="Times New Roman" w:eastAsia="宋体" w:cs="Times New Roman"/>
          <w:snapToGrid w:val="0"/>
          <w:color w:val="000000"/>
          <w:spacing w:val="-6"/>
          <w:kern w:val="0"/>
          <w:sz w:val="20"/>
          <w:szCs w:val="20"/>
          <w:lang w:val="en-US" w:eastAsia="zh-CN" w:bidi="ar"/>
        </w:rPr>
        <w:t xml:space="preserve">3 </w:t>
      </w:r>
      <w:r>
        <w:rPr>
          <w:rFonts w:hint="eastAsia" w:ascii="宋体" w:hAnsi="宋体" w:eastAsia="宋体" w:cs="宋体"/>
          <w:snapToGrid w:val="0"/>
          <w:color w:val="000000"/>
          <w:spacing w:val="-6"/>
          <w:kern w:val="0"/>
          <w:sz w:val="20"/>
          <w:szCs w:val="20"/>
          <w:lang w:val="en-US" w:eastAsia="zh-CN" w:bidi="ar"/>
        </w:rPr>
        <w:t xml:space="preserve">台收割机共收割了 </w:t>
      </w:r>
      <w:r>
        <w:rPr>
          <w:rFonts w:hint="default" w:ascii="Times New Roman" w:hAnsi="Times New Roman" w:eastAsia="宋体" w:cs="Times New Roman"/>
          <w:snapToGrid w:val="0"/>
          <w:color w:val="000000"/>
          <w:spacing w:val="-6"/>
          <w:kern w:val="0"/>
          <w:sz w:val="20"/>
          <w:szCs w:val="20"/>
          <w:lang w:val="en-US" w:eastAsia="zh-CN" w:bidi="ar"/>
        </w:rPr>
        <w:t xml:space="preserve">50 </w:t>
      </w:r>
      <w:r>
        <w:rPr>
          <w:rFonts w:hint="eastAsia" w:ascii="宋体" w:hAnsi="宋体" w:eastAsia="宋体" w:cs="宋体"/>
          <w:snapToGrid w:val="0"/>
          <w:color w:val="000000"/>
          <w:spacing w:val="-6"/>
          <w:kern w:val="0"/>
          <w:sz w:val="20"/>
          <w:szCs w:val="20"/>
          <w:lang w:val="en-US" w:eastAsia="zh-CN" w:bidi="ar"/>
        </w:rPr>
        <w:t xml:space="preserve">亩，问乙是何时开始工作的？ </w:t>
      </w:r>
    </w:p>
    <w:p w14:paraId="74827F9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A.7</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00 </w:t>
      </w:r>
    </w:p>
    <w:p w14:paraId="1649D56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B.6</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00 </w:t>
      </w:r>
    </w:p>
    <w:p w14:paraId="45FE34B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C.9</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00 </w:t>
      </w:r>
    </w:p>
    <w:p w14:paraId="54D0E70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D.8</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00 </w:t>
      </w:r>
    </w:p>
    <w:p w14:paraId="30A7262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636D234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67.</w:t>
      </w:r>
      <w:r>
        <w:rPr>
          <w:rFonts w:hint="eastAsia" w:ascii="宋体" w:hAnsi="宋体" w:eastAsia="宋体" w:cs="宋体"/>
          <w:snapToGrid w:val="0"/>
          <w:color w:val="000000"/>
          <w:spacing w:val="-6"/>
          <w:kern w:val="0"/>
          <w:sz w:val="20"/>
          <w:szCs w:val="20"/>
          <w:lang w:val="en-US" w:eastAsia="zh-CN" w:bidi="ar"/>
        </w:rPr>
        <w:t xml:space="preserve">甲、乙、丙、丁四个部门共有 </w:t>
      </w:r>
      <w:r>
        <w:rPr>
          <w:rFonts w:hint="default" w:ascii="Times New Roman" w:hAnsi="Times New Roman" w:eastAsia="宋体" w:cs="Times New Roman"/>
          <w:snapToGrid w:val="0"/>
          <w:color w:val="000000"/>
          <w:spacing w:val="-6"/>
          <w:kern w:val="0"/>
          <w:sz w:val="20"/>
          <w:szCs w:val="20"/>
          <w:lang w:val="en-US" w:eastAsia="zh-CN" w:bidi="ar"/>
        </w:rPr>
        <w:t xml:space="preserve">210 </w:t>
      </w:r>
      <w:r>
        <w:rPr>
          <w:rFonts w:hint="eastAsia" w:ascii="宋体" w:hAnsi="宋体" w:eastAsia="宋体" w:cs="宋体"/>
          <w:snapToGrid w:val="0"/>
          <w:color w:val="000000"/>
          <w:spacing w:val="-6"/>
          <w:kern w:val="0"/>
          <w:sz w:val="20"/>
          <w:szCs w:val="20"/>
          <w:lang w:val="en-US" w:eastAsia="zh-CN" w:bidi="ar"/>
        </w:rPr>
        <w:t xml:space="preserve">名员工，且甲部门员工比丁部门多 </w:t>
      </w:r>
      <w:r>
        <w:rPr>
          <w:rFonts w:hint="default" w:ascii="Times New Roman" w:hAnsi="Times New Roman" w:eastAsia="宋体" w:cs="Times New Roman"/>
          <w:snapToGrid w:val="0"/>
          <w:color w:val="000000"/>
          <w:spacing w:val="-6"/>
          <w:kern w:val="0"/>
          <w:sz w:val="20"/>
          <w:szCs w:val="20"/>
          <w:lang w:val="en-US" w:eastAsia="zh-CN" w:bidi="ar"/>
        </w:rPr>
        <w:t xml:space="preserve">10 </w:t>
      </w:r>
      <w:r>
        <w:rPr>
          <w:rFonts w:hint="eastAsia" w:ascii="宋体" w:hAnsi="宋体" w:eastAsia="宋体" w:cs="宋体"/>
          <w:snapToGrid w:val="0"/>
          <w:color w:val="000000"/>
          <w:spacing w:val="-6"/>
          <w:kern w:val="0"/>
          <w:sz w:val="20"/>
          <w:szCs w:val="20"/>
          <w:lang w:val="en-US" w:eastAsia="zh-CN" w:bidi="ar"/>
        </w:rPr>
        <w:t xml:space="preserve">人。现乙部门调动 </w:t>
      </w:r>
      <w:r>
        <w:rPr>
          <w:rFonts w:hint="default" w:ascii="Times New Roman" w:hAnsi="Times New Roman" w:eastAsia="宋体" w:cs="Times New Roman"/>
          <w:snapToGrid w:val="0"/>
          <w:color w:val="000000"/>
          <w:spacing w:val="-6"/>
          <w:kern w:val="0"/>
          <w:sz w:val="20"/>
          <w:szCs w:val="20"/>
          <w:lang w:val="en-US" w:eastAsia="zh-CN" w:bidi="ar"/>
        </w:rPr>
        <w:t xml:space="preserve">20 </w:t>
      </w:r>
      <w:r>
        <w:rPr>
          <w:rFonts w:hint="eastAsia" w:ascii="宋体" w:hAnsi="宋体" w:eastAsia="宋体" w:cs="宋体"/>
          <w:snapToGrid w:val="0"/>
          <w:color w:val="000000"/>
          <w:spacing w:val="-6"/>
          <w:kern w:val="0"/>
          <w:sz w:val="20"/>
          <w:szCs w:val="20"/>
          <w:lang w:val="en-US" w:eastAsia="zh-CN" w:bidi="ar"/>
        </w:rPr>
        <w:t xml:space="preserve">名员工到丙部门且其剩余员工并入丁部门后，甲、丙、丁三个部门的员工数之比为 </w:t>
      </w:r>
      <w:r>
        <w:rPr>
          <w:rFonts w:hint="default" w:ascii="Times New Roman" w:hAnsi="Times New Roman" w:eastAsia="宋体" w:cs="Times New Roman"/>
          <w:snapToGrid w:val="0"/>
          <w:color w:val="000000"/>
          <w:spacing w:val="-6"/>
          <w:kern w:val="0"/>
          <w:sz w:val="20"/>
          <w:szCs w:val="20"/>
          <w:lang w:val="en-US" w:eastAsia="zh-CN" w:bidi="ar"/>
        </w:rPr>
        <w:t>3</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3</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4</w:t>
      </w:r>
      <w:r>
        <w:rPr>
          <w:rFonts w:hint="eastAsia" w:ascii="宋体" w:hAnsi="宋体" w:eastAsia="宋体" w:cs="宋体"/>
          <w:snapToGrid w:val="0"/>
          <w:color w:val="000000"/>
          <w:spacing w:val="-6"/>
          <w:kern w:val="0"/>
          <w:sz w:val="20"/>
          <w:szCs w:val="20"/>
          <w:lang w:val="en-US" w:eastAsia="zh-CN" w:bidi="ar"/>
        </w:rPr>
        <w:t xml:space="preserve">。问原乙部门有多少名员工？ </w:t>
      </w:r>
    </w:p>
    <w:p w14:paraId="2E50B9F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A.41 </w:t>
      </w:r>
    </w:p>
    <w:p w14:paraId="689C332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B.46 </w:t>
      </w:r>
    </w:p>
    <w:p w14:paraId="4C7B66B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C.51 </w:t>
      </w:r>
    </w:p>
    <w:p w14:paraId="73B1E54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D.56 </w:t>
      </w:r>
    </w:p>
    <w:p w14:paraId="5F8179A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038B376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68.</w:t>
      </w:r>
      <w:r>
        <w:rPr>
          <w:rFonts w:hint="eastAsia" w:ascii="宋体" w:hAnsi="宋体" w:eastAsia="宋体" w:cs="宋体"/>
          <w:snapToGrid w:val="0"/>
          <w:color w:val="000000"/>
          <w:spacing w:val="-6"/>
          <w:kern w:val="0"/>
          <w:sz w:val="20"/>
          <w:szCs w:val="20"/>
          <w:lang w:val="en-US" w:eastAsia="zh-CN" w:bidi="ar"/>
        </w:rPr>
        <w:t xml:space="preserve">将甲、乙两种设备各 </w:t>
      </w:r>
      <w:r>
        <w:rPr>
          <w:rFonts w:hint="default" w:ascii="Times New Roman" w:hAnsi="Times New Roman" w:eastAsia="宋体" w:cs="Times New Roman"/>
          <w:snapToGrid w:val="0"/>
          <w:color w:val="000000"/>
          <w:spacing w:val="-6"/>
          <w:kern w:val="0"/>
          <w:sz w:val="20"/>
          <w:szCs w:val="20"/>
          <w:lang w:val="en-US" w:eastAsia="zh-CN" w:bidi="ar"/>
        </w:rPr>
        <w:t xml:space="preserve">5 </w:t>
      </w:r>
      <w:r>
        <w:rPr>
          <w:rFonts w:hint="eastAsia" w:ascii="宋体" w:hAnsi="宋体" w:eastAsia="宋体" w:cs="宋体"/>
          <w:snapToGrid w:val="0"/>
          <w:color w:val="000000"/>
          <w:spacing w:val="-6"/>
          <w:kern w:val="0"/>
          <w:sz w:val="20"/>
          <w:szCs w:val="20"/>
          <w:lang w:val="en-US" w:eastAsia="zh-CN" w:bidi="ar"/>
        </w:rPr>
        <w:t xml:space="preserve">件全部分配给 </w:t>
      </w: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C </w:t>
      </w:r>
      <w:r>
        <w:rPr>
          <w:rFonts w:hint="eastAsia" w:ascii="宋体" w:hAnsi="宋体" w:eastAsia="宋体" w:cs="宋体"/>
          <w:snapToGrid w:val="0"/>
          <w:color w:val="000000"/>
          <w:spacing w:val="-6"/>
          <w:kern w:val="0"/>
          <w:sz w:val="20"/>
          <w:szCs w:val="20"/>
          <w:lang w:val="en-US" w:eastAsia="zh-CN" w:bidi="ar"/>
        </w:rPr>
        <w:t xml:space="preserve">三个车间，要求每个车间分配两种设备至少各 </w:t>
      </w:r>
      <w:r>
        <w:rPr>
          <w:rFonts w:hint="default" w:ascii="Times New Roman" w:hAnsi="Times New Roman" w:eastAsia="宋体" w:cs="Times New Roman"/>
          <w:snapToGrid w:val="0"/>
          <w:color w:val="000000"/>
          <w:spacing w:val="-6"/>
          <w:kern w:val="0"/>
          <w:sz w:val="20"/>
          <w:szCs w:val="20"/>
          <w:lang w:val="en-US" w:eastAsia="zh-CN" w:bidi="ar"/>
        </w:rPr>
        <w:t xml:space="preserve">1 </w:t>
      </w:r>
      <w:r>
        <w:rPr>
          <w:rFonts w:hint="eastAsia" w:ascii="宋体" w:hAnsi="宋体" w:eastAsia="宋体" w:cs="宋体"/>
          <w:snapToGrid w:val="0"/>
          <w:color w:val="000000"/>
          <w:spacing w:val="-6"/>
          <w:kern w:val="0"/>
          <w:sz w:val="20"/>
          <w:szCs w:val="20"/>
          <w:lang w:val="en-US" w:eastAsia="zh-CN" w:bidi="ar"/>
        </w:rPr>
        <w:t>件，</w:t>
      </w:r>
      <w:r>
        <w:rPr>
          <w:rFonts w:hint="default" w:ascii="Times New Roman" w:hAnsi="Times New Roman" w:eastAsia="宋体" w:cs="Times New Roman"/>
          <w:snapToGrid w:val="0"/>
          <w:color w:val="000000"/>
          <w:spacing w:val="-6"/>
          <w:kern w:val="0"/>
          <w:sz w:val="20"/>
          <w:szCs w:val="20"/>
          <w:lang w:val="en-US" w:eastAsia="zh-CN" w:bidi="ar"/>
        </w:rPr>
        <w:t xml:space="preserve">A </w:t>
      </w:r>
      <w:r>
        <w:rPr>
          <w:rFonts w:hint="eastAsia" w:ascii="宋体" w:hAnsi="宋体" w:eastAsia="宋体" w:cs="宋体"/>
          <w:snapToGrid w:val="0"/>
          <w:color w:val="000000"/>
          <w:spacing w:val="-6"/>
          <w:kern w:val="0"/>
          <w:sz w:val="20"/>
          <w:szCs w:val="20"/>
          <w:lang w:val="en-US" w:eastAsia="zh-CN" w:bidi="ar"/>
        </w:rPr>
        <w:t>车间分配的设备总数比其他任一车间都多，</w:t>
      </w:r>
      <w:r>
        <w:rPr>
          <w:rFonts w:hint="default" w:ascii="Times New Roman" w:hAnsi="Times New Roman" w:eastAsia="宋体" w:cs="Times New Roman"/>
          <w:snapToGrid w:val="0"/>
          <w:color w:val="000000"/>
          <w:spacing w:val="-6"/>
          <w:kern w:val="0"/>
          <w:sz w:val="20"/>
          <w:szCs w:val="20"/>
          <w:lang w:val="en-US" w:eastAsia="zh-CN" w:bidi="ar"/>
        </w:rPr>
        <w:t xml:space="preserve">B </w:t>
      </w:r>
      <w:r>
        <w:rPr>
          <w:rFonts w:hint="eastAsia" w:ascii="宋体" w:hAnsi="宋体" w:eastAsia="宋体" w:cs="宋体"/>
          <w:snapToGrid w:val="0"/>
          <w:color w:val="000000"/>
          <w:spacing w:val="-6"/>
          <w:kern w:val="0"/>
          <w:sz w:val="20"/>
          <w:szCs w:val="20"/>
          <w:lang w:val="en-US" w:eastAsia="zh-CN" w:bidi="ar"/>
        </w:rPr>
        <w:t xml:space="preserve">车间分配的甲设备多于乙设备，问有多少种不同的分配方式？ </w:t>
      </w:r>
    </w:p>
    <w:p w14:paraId="21441DC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A.3 </w:t>
      </w:r>
    </w:p>
    <w:p w14:paraId="6AAFEAD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B.6 </w:t>
      </w:r>
    </w:p>
    <w:p w14:paraId="1DC6ED4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C.12 </w:t>
      </w:r>
    </w:p>
    <w:p w14:paraId="2BF527E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D.24 </w:t>
      </w:r>
    </w:p>
    <w:p w14:paraId="63F5AC6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1E48368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69.</w:t>
      </w:r>
      <w:r>
        <w:rPr>
          <w:rFonts w:hint="eastAsia" w:ascii="宋体" w:hAnsi="宋体" w:eastAsia="宋体" w:cs="宋体"/>
          <w:snapToGrid w:val="0"/>
          <w:color w:val="000000"/>
          <w:spacing w:val="-6"/>
          <w:kern w:val="0"/>
          <w:sz w:val="20"/>
          <w:szCs w:val="20"/>
          <w:lang w:val="en-US" w:eastAsia="zh-CN" w:bidi="ar"/>
        </w:rPr>
        <w:t xml:space="preserve">张、王、李、赵 </w:t>
      </w:r>
      <w:r>
        <w:rPr>
          <w:rFonts w:hint="default" w:ascii="Times New Roman" w:hAnsi="Times New Roman" w:eastAsia="宋体" w:cs="Times New Roman"/>
          <w:snapToGrid w:val="0"/>
          <w:color w:val="000000"/>
          <w:spacing w:val="-6"/>
          <w:kern w:val="0"/>
          <w:sz w:val="20"/>
          <w:szCs w:val="20"/>
          <w:lang w:val="en-US" w:eastAsia="zh-CN" w:bidi="ar"/>
        </w:rPr>
        <w:t xml:space="preserve">4 </w:t>
      </w:r>
      <w:r>
        <w:rPr>
          <w:rFonts w:hint="eastAsia" w:ascii="宋体" w:hAnsi="宋体" w:eastAsia="宋体" w:cs="宋体"/>
          <w:snapToGrid w:val="0"/>
          <w:color w:val="000000"/>
          <w:spacing w:val="-6"/>
          <w:kern w:val="0"/>
          <w:sz w:val="20"/>
          <w:szCs w:val="20"/>
          <w:lang w:val="en-US" w:eastAsia="zh-CN" w:bidi="ar"/>
        </w:rPr>
        <w:t xml:space="preserve">人的平均年龄为 </w:t>
      </w:r>
      <w:r>
        <w:rPr>
          <w:rFonts w:hint="default" w:ascii="Times New Roman" w:hAnsi="Times New Roman" w:eastAsia="宋体" w:cs="Times New Roman"/>
          <w:snapToGrid w:val="0"/>
          <w:color w:val="000000"/>
          <w:spacing w:val="-6"/>
          <w:kern w:val="0"/>
          <w:sz w:val="20"/>
          <w:szCs w:val="20"/>
          <w:lang w:val="en-US" w:eastAsia="zh-CN" w:bidi="ar"/>
        </w:rPr>
        <w:t xml:space="preserve">28 </w:t>
      </w:r>
      <w:r>
        <w:rPr>
          <w:rFonts w:hint="eastAsia" w:ascii="宋体" w:hAnsi="宋体" w:eastAsia="宋体" w:cs="宋体"/>
          <w:snapToGrid w:val="0"/>
          <w:color w:val="000000"/>
          <w:spacing w:val="-6"/>
          <w:kern w:val="0"/>
          <w:sz w:val="20"/>
          <w:szCs w:val="20"/>
          <w:lang w:val="en-US" w:eastAsia="zh-CN" w:bidi="ar"/>
        </w:rPr>
        <w:t xml:space="preserve">岁，张、王的年龄之和比李大 </w:t>
      </w:r>
      <w:r>
        <w:rPr>
          <w:rFonts w:hint="default" w:ascii="Times New Roman" w:hAnsi="Times New Roman" w:eastAsia="宋体" w:cs="Times New Roman"/>
          <w:snapToGrid w:val="0"/>
          <w:color w:val="000000"/>
          <w:spacing w:val="-6"/>
          <w:kern w:val="0"/>
          <w:sz w:val="20"/>
          <w:szCs w:val="20"/>
          <w:lang w:val="en-US" w:eastAsia="zh-CN" w:bidi="ar"/>
        </w:rPr>
        <w:t xml:space="preserve">25 </w:t>
      </w:r>
      <w:r>
        <w:rPr>
          <w:rFonts w:hint="eastAsia" w:ascii="宋体" w:hAnsi="宋体" w:eastAsia="宋体" w:cs="宋体"/>
          <w:snapToGrid w:val="0"/>
          <w:color w:val="000000"/>
          <w:spacing w:val="-6"/>
          <w:kern w:val="0"/>
          <w:sz w:val="20"/>
          <w:szCs w:val="20"/>
          <w:lang w:val="en-US" w:eastAsia="zh-CN" w:bidi="ar"/>
        </w:rPr>
        <w:t xml:space="preserve">岁，李、赵的年龄之和比张大 </w:t>
      </w:r>
      <w:r>
        <w:rPr>
          <w:rFonts w:hint="default" w:ascii="Times New Roman" w:hAnsi="Times New Roman" w:eastAsia="宋体" w:cs="Times New Roman"/>
          <w:snapToGrid w:val="0"/>
          <w:color w:val="000000"/>
          <w:spacing w:val="-6"/>
          <w:kern w:val="0"/>
          <w:sz w:val="20"/>
          <w:szCs w:val="20"/>
          <w:lang w:val="en-US" w:eastAsia="zh-CN" w:bidi="ar"/>
        </w:rPr>
        <w:t xml:space="preserve">27 </w:t>
      </w:r>
      <w:r>
        <w:rPr>
          <w:rFonts w:hint="eastAsia" w:ascii="宋体" w:hAnsi="宋体" w:eastAsia="宋体" w:cs="宋体"/>
          <w:snapToGrid w:val="0"/>
          <w:color w:val="000000"/>
          <w:spacing w:val="-6"/>
          <w:kern w:val="0"/>
          <w:sz w:val="20"/>
          <w:szCs w:val="20"/>
          <w:lang w:val="en-US" w:eastAsia="zh-CN" w:bidi="ar"/>
        </w:rPr>
        <w:t xml:space="preserve">岁。已知张比王大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岁，问他们 </w:t>
      </w:r>
      <w:r>
        <w:rPr>
          <w:rFonts w:hint="default" w:ascii="Times New Roman" w:hAnsi="Times New Roman" w:eastAsia="宋体" w:cs="Times New Roman"/>
          <w:snapToGrid w:val="0"/>
          <w:color w:val="000000"/>
          <w:spacing w:val="-6"/>
          <w:kern w:val="0"/>
          <w:sz w:val="20"/>
          <w:szCs w:val="20"/>
          <w:lang w:val="en-US" w:eastAsia="zh-CN" w:bidi="ar"/>
        </w:rPr>
        <w:t xml:space="preserve">4 </w:t>
      </w:r>
      <w:r>
        <w:rPr>
          <w:rFonts w:hint="eastAsia" w:ascii="宋体" w:hAnsi="宋体" w:eastAsia="宋体" w:cs="宋体"/>
          <w:snapToGrid w:val="0"/>
          <w:color w:val="000000"/>
          <w:spacing w:val="-6"/>
          <w:kern w:val="0"/>
          <w:sz w:val="20"/>
          <w:szCs w:val="20"/>
          <w:lang w:val="en-US" w:eastAsia="zh-CN" w:bidi="ar"/>
        </w:rPr>
        <w:t xml:space="preserve">人中年龄最大的比最小的大几岁？ </w:t>
      </w:r>
    </w:p>
    <w:p w14:paraId="24A96FC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A.5 </w:t>
      </w:r>
    </w:p>
    <w:p w14:paraId="215D1B7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B.6 </w:t>
      </w:r>
    </w:p>
    <w:p w14:paraId="0245231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C.3 </w:t>
      </w:r>
    </w:p>
    <w:p w14:paraId="6CA59CD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D.4 </w:t>
      </w:r>
    </w:p>
    <w:p w14:paraId="7DA4C9A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550BDD3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70.</w:t>
      </w:r>
      <w:r>
        <w:rPr>
          <w:rFonts w:hint="eastAsia" w:ascii="宋体" w:hAnsi="宋体" w:eastAsia="宋体" w:cs="宋体"/>
          <w:snapToGrid w:val="0"/>
          <w:color w:val="000000"/>
          <w:spacing w:val="-6"/>
          <w:kern w:val="0"/>
          <w:sz w:val="20"/>
          <w:szCs w:val="20"/>
          <w:lang w:val="en-US" w:eastAsia="zh-CN" w:bidi="ar"/>
        </w:rPr>
        <w:t xml:space="preserve">小张每周一到周四夜跑，周五到周日休息，已知某年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月他夜跑 </w:t>
      </w:r>
      <w:r>
        <w:rPr>
          <w:rFonts w:hint="default" w:ascii="Times New Roman" w:hAnsi="Times New Roman" w:eastAsia="宋体" w:cs="Times New Roman"/>
          <w:snapToGrid w:val="0"/>
          <w:color w:val="000000"/>
          <w:spacing w:val="-6"/>
          <w:kern w:val="0"/>
          <w:sz w:val="20"/>
          <w:szCs w:val="20"/>
          <w:lang w:val="en-US" w:eastAsia="zh-CN" w:bidi="ar"/>
        </w:rPr>
        <w:t xml:space="preserve">17 </w:t>
      </w:r>
      <w:r>
        <w:rPr>
          <w:rFonts w:hint="eastAsia" w:ascii="宋体" w:hAnsi="宋体" w:eastAsia="宋体" w:cs="宋体"/>
          <w:snapToGrid w:val="0"/>
          <w:color w:val="000000"/>
          <w:spacing w:val="-6"/>
          <w:kern w:val="0"/>
          <w:sz w:val="20"/>
          <w:szCs w:val="20"/>
          <w:lang w:val="en-US" w:eastAsia="zh-CN" w:bidi="ar"/>
        </w:rPr>
        <w:t>次，</w:t>
      </w:r>
      <w:r>
        <w:rPr>
          <w:rFonts w:hint="default" w:ascii="Times New Roman" w:hAnsi="Times New Roman" w:eastAsia="宋体" w:cs="Times New Roman"/>
          <w:snapToGrid w:val="0"/>
          <w:color w:val="000000"/>
          <w:spacing w:val="-6"/>
          <w:kern w:val="0"/>
          <w:sz w:val="20"/>
          <w:szCs w:val="20"/>
          <w:lang w:val="en-US" w:eastAsia="zh-CN" w:bidi="ar"/>
        </w:rPr>
        <w:t xml:space="preserve">3 </w:t>
      </w:r>
      <w:r>
        <w:rPr>
          <w:rFonts w:hint="eastAsia" w:ascii="宋体" w:hAnsi="宋体" w:eastAsia="宋体" w:cs="宋体"/>
          <w:snapToGrid w:val="0"/>
          <w:color w:val="000000"/>
          <w:spacing w:val="-6"/>
          <w:kern w:val="0"/>
          <w:sz w:val="20"/>
          <w:szCs w:val="20"/>
          <w:lang w:val="en-US" w:eastAsia="zh-CN" w:bidi="ar"/>
        </w:rPr>
        <w:t>月夜跑</w:t>
      </w:r>
      <w:r>
        <w:rPr>
          <w:rFonts w:hint="default" w:ascii="Times New Roman" w:hAnsi="Times New Roman" w:eastAsia="宋体" w:cs="Times New Roman"/>
          <w:snapToGrid w:val="0"/>
          <w:color w:val="000000"/>
          <w:spacing w:val="-6"/>
          <w:kern w:val="0"/>
          <w:sz w:val="20"/>
          <w:szCs w:val="20"/>
          <w:lang w:val="en-US" w:eastAsia="zh-CN" w:bidi="ar"/>
        </w:rPr>
        <w:t xml:space="preserve">19 </w:t>
      </w:r>
      <w:r>
        <w:rPr>
          <w:rFonts w:hint="eastAsia" w:ascii="宋体" w:hAnsi="宋体" w:eastAsia="宋体" w:cs="宋体"/>
          <w:snapToGrid w:val="0"/>
          <w:color w:val="000000"/>
          <w:spacing w:val="-6"/>
          <w:kern w:val="0"/>
          <w:sz w:val="20"/>
          <w:szCs w:val="20"/>
          <w:lang w:val="en-US" w:eastAsia="zh-CN" w:bidi="ar"/>
        </w:rPr>
        <w:t xml:space="preserve">次，问 </w:t>
      </w:r>
      <w:r>
        <w:rPr>
          <w:rFonts w:hint="default" w:ascii="Times New Roman" w:hAnsi="Times New Roman" w:eastAsia="宋体" w:cs="Times New Roman"/>
          <w:snapToGrid w:val="0"/>
          <w:color w:val="000000"/>
          <w:spacing w:val="-6"/>
          <w:kern w:val="0"/>
          <w:sz w:val="20"/>
          <w:szCs w:val="20"/>
          <w:lang w:val="en-US" w:eastAsia="zh-CN" w:bidi="ar"/>
        </w:rPr>
        <w:t xml:space="preserve">4 </w:t>
      </w:r>
      <w:r>
        <w:rPr>
          <w:rFonts w:hint="eastAsia" w:ascii="宋体" w:hAnsi="宋体" w:eastAsia="宋体" w:cs="宋体"/>
          <w:snapToGrid w:val="0"/>
          <w:color w:val="000000"/>
          <w:spacing w:val="-6"/>
          <w:kern w:val="0"/>
          <w:sz w:val="20"/>
          <w:szCs w:val="20"/>
          <w:lang w:val="en-US" w:eastAsia="zh-CN" w:bidi="ar"/>
        </w:rPr>
        <w:t xml:space="preserve">月他夜跑多少次？ </w:t>
      </w:r>
    </w:p>
    <w:p w14:paraId="63ADEF3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A.16 </w:t>
      </w:r>
    </w:p>
    <w:p w14:paraId="49343D9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B.17 </w:t>
      </w:r>
    </w:p>
    <w:p w14:paraId="1A03AB1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C.18 </w:t>
      </w:r>
    </w:p>
    <w:p w14:paraId="687178F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D.19 </w:t>
      </w:r>
    </w:p>
    <w:p w14:paraId="7ADB948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3E342C9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71.</w:t>
      </w:r>
      <w:r>
        <w:rPr>
          <w:rFonts w:hint="eastAsia" w:ascii="宋体" w:hAnsi="宋体" w:eastAsia="宋体" w:cs="宋体"/>
          <w:snapToGrid w:val="0"/>
          <w:color w:val="000000"/>
          <w:spacing w:val="-6"/>
          <w:kern w:val="0"/>
          <w:sz w:val="20"/>
          <w:szCs w:val="20"/>
          <w:lang w:val="en-US" w:eastAsia="zh-CN" w:bidi="ar"/>
        </w:rPr>
        <w:t xml:space="preserve">张某 </w:t>
      </w:r>
      <w:r>
        <w:rPr>
          <w:rFonts w:hint="default" w:ascii="Times New Roman" w:hAnsi="Times New Roman" w:eastAsia="宋体" w:cs="Times New Roman"/>
          <w:snapToGrid w:val="0"/>
          <w:color w:val="000000"/>
          <w:spacing w:val="-6"/>
          <w:kern w:val="0"/>
          <w:sz w:val="20"/>
          <w:szCs w:val="20"/>
          <w:lang w:val="en-US" w:eastAsia="zh-CN" w:bidi="ar"/>
        </w:rPr>
        <w:t xml:space="preserve">8:00 </w:t>
      </w:r>
      <w:r>
        <w:rPr>
          <w:rFonts w:hint="eastAsia" w:ascii="宋体" w:hAnsi="宋体" w:eastAsia="宋体" w:cs="宋体"/>
          <w:snapToGrid w:val="0"/>
          <w:color w:val="000000"/>
          <w:spacing w:val="-6"/>
          <w:kern w:val="0"/>
          <w:sz w:val="20"/>
          <w:szCs w:val="20"/>
          <w:lang w:val="en-US" w:eastAsia="zh-CN" w:bidi="ar"/>
        </w:rPr>
        <w:t xml:space="preserve">开车从 </w:t>
      </w:r>
      <w:r>
        <w:rPr>
          <w:rFonts w:hint="default" w:ascii="Times New Roman" w:hAnsi="Times New Roman" w:eastAsia="宋体" w:cs="Times New Roman"/>
          <w:snapToGrid w:val="0"/>
          <w:color w:val="000000"/>
          <w:spacing w:val="-6"/>
          <w:kern w:val="0"/>
          <w:sz w:val="20"/>
          <w:szCs w:val="20"/>
          <w:lang w:val="en-US" w:eastAsia="zh-CN" w:bidi="ar"/>
        </w:rPr>
        <w:t xml:space="preserve">A </w:t>
      </w:r>
      <w:r>
        <w:rPr>
          <w:rFonts w:hint="eastAsia" w:ascii="宋体" w:hAnsi="宋体" w:eastAsia="宋体" w:cs="宋体"/>
          <w:snapToGrid w:val="0"/>
          <w:color w:val="000000"/>
          <w:spacing w:val="-6"/>
          <w:kern w:val="0"/>
          <w:sz w:val="20"/>
          <w:szCs w:val="20"/>
          <w:lang w:val="en-US" w:eastAsia="zh-CN" w:bidi="ar"/>
        </w:rPr>
        <w:t xml:space="preserve">地出发，在 </w:t>
      </w: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B </w:t>
      </w:r>
      <w:r>
        <w:rPr>
          <w:rFonts w:hint="eastAsia" w:ascii="宋体" w:hAnsi="宋体" w:eastAsia="宋体" w:cs="宋体"/>
          <w:snapToGrid w:val="0"/>
          <w:color w:val="000000"/>
          <w:spacing w:val="-6"/>
          <w:kern w:val="0"/>
          <w:sz w:val="20"/>
          <w:szCs w:val="20"/>
          <w:lang w:val="en-US" w:eastAsia="zh-CN" w:bidi="ar"/>
        </w:rPr>
        <w:t>两地之间往返行驶。</w:t>
      </w:r>
      <w:r>
        <w:rPr>
          <w:rFonts w:hint="default" w:ascii="Times New Roman" w:hAnsi="Times New Roman" w:eastAsia="宋体" w:cs="Times New Roman"/>
          <w:snapToGrid w:val="0"/>
          <w:color w:val="000000"/>
          <w:spacing w:val="-6"/>
          <w:kern w:val="0"/>
          <w:sz w:val="20"/>
          <w:szCs w:val="20"/>
          <w:lang w:val="en-US" w:eastAsia="zh-CN" w:bidi="ar"/>
        </w:rPr>
        <w:t xml:space="preserve">8:30 </w:t>
      </w:r>
      <w:r>
        <w:rPr>
          <w:rFonts w:hint="eastAsia" w:ascii="宋体" w:hAnsi="宋体" w:eastAsia="宋体" w:cs="宋体"/>
          <w:snapToGrid w:val="0"/>
          <w:color w:val="000000"/>
          <w:spacing w:val="-6"/>
          <w:kern w:val="0"/>
          <w:sz w:val="20"/>
          <w:szCs w:val="20"/>
          <w:lang w:val="en-US" w:eastAsia="zh-CN" w:bidi="ar"/>
        </w:rPr>
        <w:t xml:space="preserve">第一次到达 </w:t>
      </w: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 </w:t>
      </w:r>
    </w:p>
    <w:p w14:paraId="1B6B5F4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 </w:t>
      </w:r>
      <w:r>
        <w:rPr>
          <w:rFonts w:hint="eastAsia" w:ascii="宋体" w:hAnsi="宋体" w:eastAsia="宋体" w:cs="宋体"/>
          <w:snapToGrid w:val="0"/>
          <w:color w:val="000000"/>
          <w:spacing w:val="-6"/>
          <w:kern w:val="0"/>
          <w:sz w:val="20"/>
          <w:szCs w:val="20"/>
          <w:lang w:val="en-US" w:eastAsia="zh-CN" w:bidi="ar"/>
        </w:rPr>
        <w:t xml:space="preserve">之间的 </w:t>
      </w:r>
      <w:r>
        <w:rPr>
          <w:rFonts w:hint="default" w:ascii="Times New Roman" w:hAnsi="Times New Roman" w:eastAsia="宋体" w:cs="Times New Roman"/>
          <w:snapToGrid w:val="0"/>
          <w:color w:val="000000"/>
          <w:spacing w:val="-6"/>
          <w:kern w:val="0"/>
          <w:sz w:val="20"/>
          <w:szCs w:val="20"/>
          <w:lang w:val="en-US" w:eastAsia="zh-CN" w:bidi="ar"/>
        </w:rPr>
        <w:t xml:space="preserve">C </w:t>
      </w:r>
      <w:r>
        <w:rPr>
          <w:rFonts w:hint="eastAsia" w:ascii="宋体" w:hAnsi="宋体" w:eastAsia="宋体" w:cs="宋体"/>
          <w:snapToGrid w:val="0"/>
          <w:color w:val="000000"/>
          <w:spacing w:val="-6"/>
          <w:kern w:val="0"/>
          <w:sz w:val="20"/>
          <w:szCs w:val="20"/>
          <w:lang w:val="en-US" w:eastAsia="zh-CN" w:bidi="ar"/>
        </w:rPr>
        <w:t xml:space="preserve">点时加速 </w:t>
      </w:r>
      <w:r>
        <w:rPr>
          <w:rFonts w:hint="default" w:ascii="Times New Roman" w:hAnsi="Times New Roman" w:eastAsia="宋体" w:cs="Times New Roman"/>
          <w:snapToGrid w:val="0"/>
          <w:color w:val="000000"/>
          <w:spacing w:val="-6"/>
          <w:kern w:val="0"/>
          <w:sz w:val="20"/>
          <w:szCs w:val="20"/>
          <w:lang w:val="en-US" w:eastAsia="zh-CN" w:bidi="ar"/>
        </w:rPr>
        <w:t>30%</w:t>
      </w:r>
      <w:r>
        <w:rPr>
          <w:rFonts w:hint="eastAsia" w:ascii="宋体" w:hAnsi="宋体" w:eastAsia="宋体" w:cs="宋体"/>
          <w:snapToGrid w:val="0"/>
          <w:color w:val="000000"/>
          <w:spacing w:val="-6"/>
          <w:kern w:val="0"/>
          <w:sz w:val="20"/>
          <w:szCs w:val="20"/>
          <w:lang w:val="en-US" w:eastAsia="zh-CN" w:bidi="ar"/>
        </w:rPr>
        <w:t xml:space="preserve">继续行驶，并于 </w:t>
      </w:r>
      <w:r>
        <w:rPr>
          <w:rFonts w:hint="default" w:ascii="Times New Roman" w:hAnsi="Times New Roman" w:eastAsia="宋体" w:cs="Times New Roman"/>
          <w:snapToGrid w:val="0"/>
          <w:color w:val="000000"/>
          <w:spacing w:val="-6"/>
          <w:kern w:val="0"/>
          <w:sz w:val="20"/>
          <w:szCs w:val="20"/>
          <w:lang w:val="en-US" w:eastAsia="zh-CN" w:bidi="ar"/>
        </w:rPr>
        <w:t xml:space="preserve">9:00 </w:t>
      </w:r>
      <w:r>
        <w:rPr>
          <w:rFonts w:hint="eastAsia" w:ascii="宋体" w:hAnsi="宋体" w:eastAsia="宋体" w:cs="宋体"/>
          <w:snapToGrid w:val="0"/>
          <w:color w:val="000000"/>
          <w:spacing w:val="-6"/>
          <w:kern w:val="0"/>
          <w:sz w:val="20"/>
          <w:szCs w:val="20"/>
          <w:lang w:val="en-US" w:eastAsia="zh-CN" w:bidi="ar"/>
        </w:rPr>
        <w:t xml:space="preserve">第二次到达 </w:t>
      </w:r>
      <w:r>
        <w:rPr>
          <w:rFonts w:hint="default" w:ascii="Times New Roman" w:hAnsi="Times New Roman" w:eastAsia="宋体" w:cs="Times New Roman"/>
          <w:snapToGrid w:val="0"/>
          <w:color w:val="000000"/>
          <w:spacing w:val="-6"/>
          <w:kern w:val="0"/>
          <w:sz w:val="20"/>
          <w:szCs w:val="20"/>
          <w:lang w:val="en-US" w:eastAsia="zh-CN" w:bidi="ar"/>
        </w:rPr>
        <w:t xml:space="preserve">C </w:t>
      </w:r>
      <w:r>
        <w:rPr>
          <w:rFonts w:hint="eastAsia" w:ascii="宋体" w:hAnsi="宋体" w:eastAsia="宋体" w:cs="宋体"/>
          <w:snapToGrid w:val="0"/>
          <w:color w:val="000000"/>
          <w:spacing w:val="-6"/>
          <w:kern w:val="0"/>
          <w:sz w:val="20"/>
          <w:szCs w:val="20"/>
          <w:lang w:val="en-US" w:eastAsia="zh-CN" w:bidi="ar"/>
        </w:rPr>
        <w:t xml:space="preserve">点。问 </w:t>
      </w:r>
      <w:r>
        <w:rPr>
          <w:rFonts w:hint="default" w:ascii="Times New Roman" w:hAnsi="Times New Roman" w:eastAsia="宋体" w:cs="Times New Roman"/>
          <w:snapToGrid w:val="0"/>
          <w:color w:val="000000"/>
          <w:spacing w:val="-6"/>
          <w:kern w:val="0"/>
          <w:sz w:val="20"/>
          <w:szCs w:val="20"/>
          <w:lang w:val="en-US" w:eastAsia="zh-CN" w:bidi="ar"/>
        </w:rPr>
        <w:t xml:space="preserve">AC </w:t>
      </w:r>
      <w:r>
        <w:rPr>
          <w:rFonts w:hint="eastAsia" w:ascii="宋体" w:hAnsi="宋体" w:eastAsia="宋体" w:cs="宋体"/>
          <w:snapToGrid w:val="0"/>
          <w:color w:val="000000"/>
          <w:spacing w:val="-6"/>
          <w:kern w:val="0"/>
          <w:sz w:val="20"/>
          <w:szCs w:val="20"/>
          <w:lang w:val="en-US" w:eastAsia="zh-CN" w:bidi="ar"/>
        </w:rPr>
        <w:t xml:space="preserve">距离是 </w:t>
      </w:r>
      <w:r>
        <w:rPr>
          <w:rFonts w:hint="default" w:ascii="Times New Roman" w:hAnsi="Times New Roman" w:eastAsia="宋体" w:cs="Times New Roman"/>
          <w:snapToGrid w:val="0"/>
          <w:color w:val="000000"/>
          <w:spacing w:val="-6"/>
          <w:kern w:val="0"/>
          <w:sz w:val="20"/>
          <w:szCs w:val="20"/>
          <w:lang w:val="en-US" w:eastAsia="zh-CN" w:bidi="ar"/>
        </w:rPr>
        <w:t xml:space="preserve">BC </w:t>
      </w:r>
      <w:r>
        <w:rPr>
          <w:rFonts w:hint="eastAsia" w:ascii="宋体" w:hAnsi="宋体" w:eastAsia="宋体" w:cs="宋体"/>
          <w:snapToGrid w:val="0"/>
          <w:color w:val="000000"/>
          <w:spacing w:val="-6"/>
          <w:kern w:val="0"/>
          <w:sz w:val="20"/>
          <w:szCs w:val="20"/>
          <w:lang w:val="en-US" w:eastAsia="zh-CN" w:bidi="ar"/>
        </w:rPr>
        <w:t xml:space="preserve">距离的多少倍？ </w:t>
      </w:r>
    </w:p>
    <w:p w14:paraId="045641A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A.10/13 </w:t>
      </w:r>
    </w:p>
    <w:p w14:paraId="2D86130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B.13/10 </w:t>
      </w:r>
    </w:p>
    <w:p w14:paraId="6DFCFDC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C.20/13 </w:t>
      </w:r>
    </w:p>
    <w:p w14:paraId="1F970A2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D.13/5 </w:t>
      </w:r>
    </w:p>
    <w:p w14:paraId="3CFFE7E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70A38FE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72.</w:t>
      </w:r>
      <w:r>
        <w:rPr>
          <w:rFonts w:hint="eastAsia" w:ascii="宋体" w:hAnsi="宋体" w:eastAsia="宋体" w:cs="宋体"/>
          <w:snapToGrid w:val="0"/>
          <w:color w:val="000000"/>
          <w:spacing w:val="-6"/>
          <w:kern w:val="0"/>
          <w:sz w:val="20"/>
          <w:szCs w:val="20"/>
          <w:lang w:val="en-US" w:eastAsia="zh-CN" w:bidi="ar"/>
        </w:rPr>
        <w:t xml:space="preserve">某厂区如图所示，其中 </w:t>
      </w:r>
      <w:r>
        <w:rPr>
          <w:rFonts w:hint="default" w:ascii="Times New Roman" w:hAnsi="Times New Roman" w:eastAsia="宋体" w:cs="Times New Roman"/>
          <w:snapToGrid w:val="0"/>
          <w:color w:val="000000"/>
          <w:spacing w:val="-6"/>
          <w:kern w:val="0"/>
          <w:sz w:val="20"/>
          <w:szCs w:val="20"/>
          <w:lang w:val="en-US" w:eastAsia="zh-CN" w:bidi="ar"/>
        </w:rPr>
        <w:t xml:space="preserve">ABCD </w:t>
      </w:r>
      <w:r>
        <w:rPr>
          <w:rFonts w:hint="eastAsia" w:ascii="宋体" w:hAnsi="宋体" w:eastAsia="宋体" w:cs="宋体"/>
          <w:snapToGrid w:val="0"/>
          <w:color w:val="000000"/>
          <w:spacing w:val="-6"/>
          <w:kern w:val="0"/>
          <w:sz w:val="20"/>
          <w:szCs w:val="20"/>
          <w:lang w:val="en-US" w:eastAsia="zh-CN" w:bidi="ar"/>
        </w:rPr>
        <w:t>为矩形，</w:t>
      </w:r>
      <w:r>
        <w:rPr>
          <w:rFonts w:hint="default" w:ascii="Times New Roman" w:hAnsi="Times New Roman" w:eastAsia="宋体" w:cs="Times New Roman"/>
          <w:snapToGrid w:val="0"/>
          <w:color w:val="000000"/>
          <w:spacing w:val="-6"/>
          <w:kern w:val="0"/>
          <w:sz w:val="20"/>
          <w:szCs w:val="20"/>
          <w:lang w:val="en-US" w:eastAsia="zh-CN" w:bidi="ar"/>
        </w:rPr>
        <w:t xml:space="preserve">ABEF </w:t>
      </w:r>
      <w:r>
        <w:rPr>
          <w:rFonts w:hint="eastAsia" w:ascii="宋体" w:hAnsi="宋体" w:eastAsia="宋体" w:cs="宋体"/>
          <w:snapToGrid w:val="0"/>
          <w:color w:val="000000"/>
          <w:spacing w:val="-6"/>
          <w:kern w:val="0"/>
          <w:sz w:val="20"/>
          <w:szCs w:val="20"/>
          <w:lang w:val="en-US" w:eastAsia="zh-CN" w:bidi="ar"/>
        </w:rPr>
        <w:t>为直角梯形，</w:t>
      </w:r>
      <w:r>
        <w:rPr>
          <w:rFonts w:hint="default" w:ascii="Times New Roman" w:hAnsi="Times New Roman" w:eastAsia="宋体" w:cs="Times New Roman"/>
          <w:snapToGrid w:val="0"/>
          <w:color w:val="000000"/>
          <w:spacing w:val="-6"/>
          <w:kern w:val="0"/>
          <w:sz w:val="20"/>
          <w:szCs w:val="20"/>
          <w:lang w:val="en-US" w:eastAsia="zh-CN" w:bidi="ar"/>
        </w:rPr>
        <w:t xml:space="preserve">AB </w:t>
      </w:r>
      <w:r>
        <w:rPr>
          <w:rFonts w:hint="eastAsia" w:ascii="宋体" w:hAnsi="宋体" w:eastAsia="宋体" w:cs="宋体"/>
          <w:snapToGrid w:val="0"/>
          <w:color w:val="000000"/>
          <w:spacing w:val="-6"/>
          <w:kern w:val="0"/>
          <w:sz w:val="20"/>
          <w:szCs w:val="20"/>
          <w:lang w:val="en-US" w:eastAsia="zh-CN" w:bidi="ar"/>
        </w:rPr>
        <w:t xml:space="preserve">与 </w:t>
      </w:r>
      <w:r>
        <w:rPr>
          <w:rFonts w:hint="default" w:ascii="Times New Roman" w:hAnsi="Times New Roman" w:eastAsia="宋体" w:cs="Times New Roman"/>
          <w:snapToGrid w:val="0"/>
          <w:color w:val="000000"/>
          <w:spacing w:val="-6"/>
          <w:kern w:val="0"/>
          <w:sz w:val="20"/>
          <w:szCs w:val="20"/>
          <w:lang w:val="en-US" w:eastAsia="zh-CN" w:bidi="ar"/>
        </w:rPr>
        <w:t xml:space="preserve">DE </w:t>
      </w:r>
      <w:r>
        <w:rPr>
          <w:rFonts w:hint="eastAsia" w:ascii="宋体" w:hAnsi="宋体" w:eastAsia="宋体" w:cs="宋体"/>
          <w:snapToGrid w:val="0"/>
          <w:color w:val="000000"/>
          <w:spacing w:val="-6"/>
          <w:kern w:val="0"/>
          <w:sz w:val="20"/>
          <w:szCs w:val="20"/>
          <w:lang w:val="en-US" w:eastAsia="zh-CN" w:bidi="ar"/>
        </w:rPr>
        <w:t xml:space="preserve">相交于 </w:t>
      </w:r>
      <w:r>
        <w:rPr>
          <w:rFonts w:hint="default" w:ascii="Times New Roman" w:hAnsi="Times New Roman" w:eastAsia="宋体" w:cs="Times New Roman"/>
          <w:snapToGrid w:val="0"/>
          <w:color w:val="000000"/>
          <w:spacing w:val="-6"/>
          <w:kern w:val="0"/>
          <w:sz w:val="20"/>
          <w:szCs w:val="20"/>
          <w:lang w:val="en-US" w:eastAsia="zh-CN" w:bidi="ar"/>
        </w:rPr>
        <w:t xml:space="preserve">G </w:t>
      </w:r>
      <w:r>
        <w:rPr>
          <w:rFonts w:hint="eastAsia" w:ascii="宋体" w:hAnsi="宋体" w:eastAsia="宋体" w:cs="宋体"/>
          <w:snapToGrid w:val="0"/>
          <w:color w:val="000000"/>
          <w:spacing w:val="-6"/>
          <w:kern w:val="0"/>
          <w:sz w:val="20"/>
          <w:szCs w:val="20"/>
          <w:lang w:val="en-US" w:eastAsia="zh-CN" w:bidi="ar"/>
        </w:rPr>
        <w:t xml:space="preserve">点，其中阴影区域 </w:t>
      </w:r>
      <w:r>
        <w:rPr>
          <w:rFonts w:hint="default" w:ascii="Times New Roman" w:hAnsi="Times New Roman" w:eastAsia="宋体" w:cs="Times New Roman"/>
          <w:snapToGrid w:val="0"/>
          <w:color w:val="000000"/>
          <w:spacing w:val="-6"/>
          <w:kern w:val="0"/>
          <w:sz w:val="20"/>
          <w:szCs w:val="20"/>
          <w:lang w:val="en-US" w:eastAsia="zh-CN" w:bidi="ar"/>
        </w:rPr>
        <w:t xml:space="preserve">ADGF </w:t>
      </w:r>
      <w:r>
        <w:rPr>
          <w:rFonts w:hint="eastAsia" w:ascii="宋体" w:hAnsi="宋体" w:eastAsia="宋体" w:cs="宋体"/>
          <w:snapToGrid w:val="0"/>
          <w:color w:val="000000"/>
          <w:spacing w:val="-6"/>
          <w:kern w:val="0"/>
          <w:sz w:val="20"/>
          <w:szCs w:val="20"/>
          <w:lang w:val="en-US" w:eastAsia="zh-CN" w:bidi="ar"/>
        </w:rPr>
        <w:t xml:space="preserve">为涉密区域。已知 </w:t>
      </w:r>
      <w:r>
        <w:rPr>
          <w:rFonts w:hint="default" w:ascii="Times New Roman" w:hAnsi="Times New Roman" w:eastAsia="宋体" w:cs="Times New Roman"/>
          <w:snapToGrid w:val="0"/>
          <w:color w:val="000000"/>
          <w:spacing w:val="-6"/>
          <w:kern w:val="0"/>
          <w:sz w:val="20"/>
          <w:szCs w:val="20"/>
          <w:lang w:val="en-US" w:eastAsia="zh-CN" w:bidi="ar"/>
        </w:rPr>
        <w:t>AD</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AF</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AB </w:t>
      </w:r>
      <w:r>
        <w:rPr>
          <w:rFonts w:hint="eastAsia" w:ascii="宋体" w:hAnsi="宋体" w:eastAsia="宋体" w:cs="宋体"/>
          <w:snapToGrid w:val="0"/>
          <w:color w:val="000000"/>
          <w:spacing w:val="-6"/>
          <w:kern w:val="0"/>
          <w:sz w:val="20"/>
          <w:szCs w:val="20"/>
          <w:lang w:val="en-US" w:eastAsia="zh-CN" w:bidi="ar"/>
        </w:rPr>
        <w:t xml:space="preserve">长度分别为 </w:t>
      </w:r>
      <w:r>
        <w:rPr>
          <w:rFonts w:hint="default" w:ascii="Times New Roman" w:hAnsi="Times New Roman" w:eastAsia="宋体" w:cs="Times New Roman"/>
          <w:snapToGrid w:val="0"/>
          <w:color w:val="000000"/>
          <w:spacing w:val="-6"/>
          <w:kern w:val="0"/>
          <w:sz w:val="20"/>
          <w:szCs w:val="20"/>
          <w:lang w:val="en-US" w:eastAsia="zh-CN" w:bidi="ar"/>
        </w:rPr>
        <w:t xml:space="preserve">240 </w:t>
      </w:r>
      <w:r>
        <w:rPr>
          <w:rFonts w:hint="eastAsia" w:ascii="宋体" w:hAnsi="宋体" w:eastAsia="宋体" w:cs="宋体"/>
          <w:snapToGrid w:val="0"/>
          <w:color w:val="000000"/>
          <w:spacing w:val="-6"/>
          <w:kern w:val="0"/>
          <w:sz w:val="20"/>
          <w:szCs w:val="20"/>
          <w:lang w:val="en-US" w:eastAsia="zh-CN" w:bidi="ar"/>
        </w:rPr>
        <w:t>米，</w:t>
      </w:r>
      <w:r>
        <w:rPr>
          <w:rFonts w:hint="default" w:ascii="Times New Roman" w:hAnsi="Times New Roman" w:eastAsia="宋体" w:cs="Times New Roman"/>
          <w:snapToGrid w:val="0"/>
          <w:color w:val="000000"/>
          <w:spacing w:val="-6"/>
          <w:kern w:val="0"/>
          <w:sz w:val="20"/>
          <w:szCs w:val="20"/>
          <w:lang w:val="en-US" w:eastAsia="zh-CN" w:bidi="ar"/>
        </w:rPr>
        <w:t xml:space="preserve">150 </w:t>
      </w:r>
      <w:r>
        <w:rPr>
          <w:rFonts w:hint="eastAsia" w:ascii="宋体" w:hAnsi="宋体" w:eastAsia="宋体" w:cs="宋体"/>
          <w:snapToGrid w:val="0"/>
          <w:color w:val="000000"/>
          <w:spacing w:val="-6"/>
          <w:kern w:val="0"/>
          <w:sz w:val="20"/>
          <w:szCs w:val="20"/>
          <w:lang w:val="en-US" w:eastAsia="zh-CN" w:bidi="ar"/>
        </w:rPr>
        <w:t>米，</w:t>
      </w:r>
      <w:r>
        <w:rPr>
          <w:rFonts w:hint="default" w:ascii="Times New Roman" w:hAnsi="Times New Roman" w:eastAsia="宋体" w:cs="Times New Roman"/>
          <w:snapToGrid w:val="0"/>
          <w:color w:val="000000"/>
          <w:spacing w:val="-6"/>
          <w:kern w:val="0"/>
          <w:sz w:val="20"/>
          <w:szCs w:val="20"/>
          <w:lang w:val="en-US" w:eastAsia="zh-CN" w:bidi="ar"/>
        </w:rPr>
        <w:t xml:space="preserve">100 </w:t>
      </w:r>
      <w:r>
        <w:rPr>
          <w:rFonts w:hint="eastAsia" w:ascii="宋体" w:hAnsi="宋体" w:eastAsia="宋体" w:cs="宋体"/>
          <w:snapToGrid w:val="0"/>
          <w:color w:val="000000"/>
          <w:spacing w:val="-6"/>
          <w:kern w:val="0"/>
          <w:sz w:val="20"/>
          <w:szCs w:val="20"/>
          <w:lang w:val="en-US" w:eastAsia="zh-CN" w:bidi="ar"/>
        </w:rPr>
        <w:t>米，问涉密区域的面积为多少万平方米？</w:t>
      </w:r>
    </w:p>
    <w:p w14:paraId="68AFBE33">
      <w:pPr>
        <w:keepNext w:val="0"/>
        <w:keepLines w:val="0"/>
        <w:widowControl/>
        <w:suppressLineNumbers w:val="0"/>
        <w:jc w:val="left"/>
      </w:pPr>
    </w:p>
    <w:p w14:paraId="68543B8A">
      <w:pPr>
        <w:keepNext w:val="0"/>
        <w:keepLines w:val="0"/>
        <w:widowControl/>
        <w:suppressLineNumbers w:val="0"/>
        <w:jc w:val="left"/>
      </w:pPr>
      <w:r>
        <w:drawing>
          <wp:inline distT="0" distB="0" distL="114300" distR="114300">
            <wp:extent cx="2400300" cy="1607820"/>
            <wp:effectExtent l="0" t="0" r="7620" b="7620"/>
            <wp:docPr id="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8"/>
                    <pic:cNvPicPr>
                      <a:picLocks noChangeAspect="1"/>
                    </pic:cNvPicPr>
                  </pic:nvPicPr>
                  <pic:blipFill>
                    <a:blip r:embed="rId8"/>
                    <a:stretch>
                      <a:fillRect/>
                    </a:stretch>
                  </pic:blipFill>
                  <pic:spPr>
                    <a:xfrm>
                      <a:off x="0" y="0"/>
                      <a:ext cx="2400300" cy="1607820"/>
                    </a:xfrm>
                    <a:prstGeom prst="rect">
                      <a:avLst/>
                    </a:prstGeom>
                    <a:noFill/>
                    <a:ln>
                      <a:noFill/>
                    </a:ln>
                  </pic:spPr>
                </pic:pic>
              </a:graphicData>
            </a:graphic>
          </wp:inline>
        </w:drawing>
      </w:r>
    </w:p>
    <w:p w14:paraId="7339BD1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A.1.2 </w:t>
      </w:r>
    </w:p>
    <w:p w14:paraId="30E4D73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B.1.3 </w:t>
      </w:r>
    </w:p>
    <w:p w14:paraId="6B8BBBE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C.1.4 </w:t>
      </w:r>
    </w:p>
    <w:p w14:paraId="48F5137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D.1.5 </w:t>
      </w:r>
    </w:p>
    <w:p w14:paraId="36D8A15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2A8141E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73.</w:t>
      </w:r>
      <w:r>
        <w:rPr>
          <w:rFonts w:hint="eastAsia" w:ascii="宋体" w:hAnsi="宋体" w:eastAsia="宋体" w:cs="宋体"/>
          <w:snapToGrid w:val="0"/>
          <w:color w:val="000000"/>
          <w:spacing w:val="-6"/>
          <w:kern w:val="0"/>
          <w:sz w:val="20"/>
          <w:szCs w:val="20"/>
          <w:lang w:val="en-US" w:eastAsia="zh-CN" w:bidi="ar"/>
        </w:rPr>
        <w:t xml:space="preserve">某种商品在定价基础上打八折销售，打折之前每天卖 </w:t>
      </w:r>
      <w:r>
        <w:rPr>
          <w:rFonts w:hint="default" w:ascii="Times New Roman" w:hAnsi="Times New Roman" w:eastAsia="宋体" w:cs="Times New Roman"/>
          <w:snapToGrid w:val="0"/>
          <w:color w:val="000000"/>
          <w:spacing w:val="-6"/>
          <w:kern w:val="0"/>
          <w:sz w:val="20"/>
          <w:szCs w:val="20"/>
          <w:lang w:val="en-US" w:eastAsia="zh-CN" w:bidi="ar"/>
        </w:rPr>
        <w:t xml:space="preserve">40 </w:t>
      </w:r>
      <w:r>
        <w:rPr>
          <w:rFonts w:hint="eastAsia" w:ascii="宋体" w:hAnsi="宋体" w:eastAsia="宋体" w:cs="宋体"/>
          <w:snapToGrid w:val="0"/>
          <w:color w:val="000000"/>
          <w:spacing w:val="-6"/>
          <w:kern w:val="0"/>
          <w:sz w:val="20"/>
          <w:szCs w:val="20"/>
          <w:lang w:val="en-US" w:eastAsia="zh-CN" w:bidi="ar"/>
        </w:rPr>
        <w:t xml:space="preserve">件，开始打折第一天起， </w:t>
      </w:r>
    </w:p>
    <w:p w14:paraId="3A75140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每天都比前一天多卖 </w:t>
      </w:r>
      <w:r>
        <w:rPr>
          <w:rFonts w:hint="default" w:ascii="Times New Roman" w:hAnsi="Times New Roman" w:eastAsia="宋体" w:cs="Times New Roman"/>
          <w:snapToGrid w:val="0"/>
          <w:color w:val="000000"/>
          <w:spacing w:val="-6"/>
          <w:kern w:val="0"/>
          <w:sz w:val="20"/>
          <w:szCs w:val="20"/>
          <w:lang w:val="en-US" w:eastAsia="zh-CN" w:bidi="ar"/>
        </w:rPr>
        <w:t xml:space="preserve">10 </w:t>
      </w:r>
      <w:r>
        <w:rPr>
          <w:rFonts w:hint="eastAsia" w:ascii="宋体" w:hAnsi="宋体" w:eastAsia="宋体" w:cs="宋体"/>
          <w:snapToGrid w:val="0"/>
          <w:color w:val="000000"/>
          <w:spacing w:val="-6"/>
          <w:kern w:val="0"/>
          <w:sz w:val="20"/>
          <w:szCs w:val="20"/>
          <w:lang w:val="en-US" w:eastAsia="zh-CN" w:bidi="ar"/>
        </w:rPr>
        <w:t xml:space="preserve">件。打折销售 </w:t>
      </w:r>
      <w:r>
        <w:rPr>
          <w:rFonts w:hint="default" w:ascii="Times New Roman" w:hAnsi="Times New Roman" w:eastAsia="宋体" w:cs="Times New Roman"/>
          <w:snapToGrid w:val="0"/>
          <w:color w:val="000000"/>
          <w:spacing w:val="-6"/>
          <w:kern w:val="0"/>
          <w:sz w:val="20"/>
          <w:szCs w:val="20"/>
          <w:lang w:val="en-US" w:eastAsia="zh-CN" w:bidi="ar"/>
        </w:rPr>
        <w:t xml:space="preserve">15 </w:t>
      </w:r>
      <w:r>
        <w:rPr>
          <w:rFonts w:hint="eastAsia" w:ascii="宋体" w:hAnsi="宋体" w:eastAsia="宋体" w:cs="宋体"/>
          <w:snapToGrid w:val="0"/>
          <w:color w:val="000000"/>
          <w:spacing w:val="-6"/>
          <w:kern w:val="0"/>
          <w:sz w:val="20"/>
          <w:szCs w:val="20"/>
          <w:lang w:val="en-US" w:eastAsia="zh-CN" w:bidi="ar"/>
        </w:rPr>
        <w:t xml:space="preserve">天的利润总额与打折之前销售 </w:t>
      </w:r>
      <w:r>
        <w:rPr>
          <w:rFonts w:hint="default" w:ascii="Times New Roman" w:hAnsi="Times New Roman" w:eastAsia="宋体" w:cs="Times New Roman"/>
          <w:snapToGrid w:val="0"/>
          <w:color w:val="000000"/>
          <w:spacing w:val="-6"/>
          <w:kern w:val="0"/>
          <w:sz w:val="20"/>
          <w:szCs w:val="20"/>
          <w:lang w:val="en-US" w:eastAsia="zh-CN" w:bidi="ar"/>
        </w:rPr>
        <w:t xml:space="preserve">20 </w:t>
      </w:r>
      <w:r>
        <w:rPr>
          <w:rFonts w:hint="eastAsia" w:ascii="宋体" w:hAnsi="宋体" w:eastAsia="宋体" w:cs="宋体"/>
          <w:snapToGrid w:val="0"/>
          <w:color w:val="000000"/>
          <w:spacing w:val="-6"/>
          <w:kern w:val="0"/>
          <w:sz w:val="20"/>
          <w:szCs w:val="20"/>
          <w:lang w:val="en-US" w:eastAsia="zh-CN" w:bidi="ar"/>
        </w:rPr>
        <w:t xml:space="preserve">天的利润相同，问这种商品的成本是定价的： </w:t>
      </w:r>
    </w:p>
    <w:p w14:paraId="0E6D7D9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A.70% </w:t>
      </w:r>
    </w:p>
    <w:p w14:paraId="3263D01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B.75% </w:t>
      </w:r>
    </w:p>
    <w:p w14:paraId="7707A1B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C.60% </w:t>
      </w:r>
    </w:p>
    <w:p w14:paraId="0E37D59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D.64% </w:t>
      </w:r>
    </w:p>
    <w:p w14:paraId="74B8AA2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7B4E616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74.</w:t>
      </w:r>
      <w:r>
        <w:rPr>
          <w:rFonts w:hint="eastAsia" w:ascii="宋体" w:hAnsi="宋体" w:eastAsia="宋体" w:cs="宋体"/>
          <w:snapToGrid w:val="0"/>
          <w:color w:val="000000"/>
          <w:spacing w:val="-6"/>
          <w:kern w:val="0"/>
          <w:sz w:val="20"/>
          <w:szCs w:val="20"/>
          <w:lang w:val="en-US" w:eastAsia="zh-CN" w:bidi="ar"/>
        </w:rPr>
        <w:t xml:space="preserve">某单位 </w:t>
      </w:r>
      <w:r>
        <w:rPr>
          <w:rFonts w:hint="default" w:ascii="Times New Roman" w:hAnsi="Times New Roman" w:eastAsia="宋体" w:cs="Times New Roman"/>
          <w:snapToGrid w:val="0"/>
          <w:color w:val="000000"/>
          <w:spacing w:val="-6"/>
          <w:kern w:val="0"/>
          <w:sz w:val="20"/>
          <w:szCs w:val="20"/>
          <w:lang w:val="en-US" w:eastAsia="zh-CN" w:bidi="ar"/>
        </w:rPr>
        <w:t xml:space="preserve">65 </w:t>
      </w:r>
      <w:r>
        <w:rPr>
          <w:rFonts w:hint="eastAsia" w:ascii="宋体" w:hAnsi="宋体" w:eastAsia="宋体" w:cs="宋体"/>
          <w:snapToGrid w:val="0"/>
          <w:color w:val="000000"/>
          <w:spacing w:val="-6"/>
          <w:kern w:val="0"/>
          <w:sz w:val="20"/>
          <w:szCs w:val="20"/>
          <w:lang w:val="en-US" w:eastAsia="zh-CN" w:bidi="ar"/>
        </w:rPr>
        <w:t xml:space="preserve">名职工中，拥有甲、乙、丙三项认证中至少一项的职工正好占 </w:t>
      </w:r>
      <w:r>
        <w:rPr>
          <w:rFonts w:hint="default" w:ascii="Times New Roman" w:hAnsi="Times New Roman" w:eastAsia="宋体" w:cs="Times New Roman"/>
          <w:snapToGrid w:val="0"/>
          <w:color w:val="000000"/>
          <w:spacing w:val="-6"/>
          <w:kern w:val="0"/>
          <w:sz w:val="20"/>
          <w:szCs w:val="20"/>
          <w:lang w:val="en-US" w:eastAsia="zh-CN" w:bidi="ar"/>
        </w:rPr>
        <w:t>80%</w:t>
      </w:r>
      <w:r>
        <w:rPr>
          <w:rFonts w:hint="eastAsia" w:ascii="宋体" w:hAnsi="宋体" w:eastAsia="宋体" w:cs="宋体"/>
          <w:snapToGrid w:val="0"/>
          <w:color w:val="000000"/>
          <w:spacing w:val="-6"/>
          <w:kern w:val="0"/>
          <w:sz w:val="20"/>
          <w:szCs w:val="20"/>
          <w:lang w:val="en-US" w:eastAsia="zh-CN" w:bidi="ar"/>
        </w:rPr>
        <w:t xml:space="preserve">，没有甲认证的职工与有乙认证的职工人数一样多，仅有丙认证的职工有 </w:t>
      </w:r>
      <w:r>
        <w:rPr>
          <w:rFonts w:hint="default" w:ascii="Times New Roman" w:hAnsi="Times New Roman" w:eastAsia="宋体" w:cs="Times New Roman"/>
          <w:snapToGrid w:val="0"/>
          <w:color w:val="000000"/>
          <w:spacing w:val="-6"/>
          <w:kern w:val="0"/>
          <w:sz w:val="20"/>
          <w:szCs w:val="20"/>
          <w:lang w:val="en-US" w:eastAsia="zh-CN" w:bidi="ar"/>
        </w:rPr>
        <w:t xml:space="preserve">3 </w:t>
      </w:r>
      <w:r>
        <w:rPr>
          <w:rFonts w:hint="eastAsia" w:ascii="宋体" w:hAnsi="宋体" w:eastAsia="宋体" w:cs="宋体"/>
          <w:snapToGrid w:val="0"/>
          <w:color w:val="000000"/>
          <w:spacing w:val="-6"/>
          <w:kern w:val="0"/>
          <w:sz w:val="20"/>
          <w:szCs w:val="20"/>
          <w:lang w:val="en-US" w:eastAsia="zh-CN" w:bidi="ar"/>
        </w:rPr>
        <w:t xml:space="preserve">人，三项认证都有的职工有 </w:t>
      </w:r>
      <w:r>
        <w:rPr>
          <w:rFonts w:hint="default" w:ascii="Times New Roman" w:hAnsi="Times New Roman" w:eastAsia="宋体" w:cs="Times New Roman"/>
          <w:snapToGrid w:val="0"/>
          <w:color w:val="000000"/>
          <w:spacing w:val="-6"/>
          <w:kern w:val="0"/>
          <w:sz w:val="20"/>
          <w:szCs w:val="20"/>
          <w:lang w:val="en-US" w:eastAsia="zh-CN" w:bidi="ar"/>
        </w:rPr>
        <w:t xml:space="preserve">6 </w:t>
      </w:r>
      <w:r>
        <w:rPr>
          <w:rFonts w:hint="eastAsia" w:ascii="宋体" w:hAnsi="宋体" w:eastAsia="宋体" w:cs="宋体"/>
          <w:snapToGrid w:val="0"/>
          <w:color w:val="000000"/>
          <w:spacing w:val="-6"/>
          <w:kern w:val="0"/>
          <w:sz w:val="20"/>
          <w:szCs w:val="20"/>
          <w:lang w:val="en-US" w:eastAsia="zh-CN" w:bidi="ar"/>
        </w:rPr>
        <w:t xml:space="preserve">人，问有多少人仅拥有甲、乙两项认证？ </w:t>
      </w:r>
    </w:p>
    <w:p w14:paraId="1127548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A.10 </w:t>
      </w:r>
    </w:p>
    <w:p w14:paraId="423EAA7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B.13 </w:t>
      </w:r>
    </w:p>
    <w:p w14:paraId="40C7AC9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C.16 </w:t>
      </w:r>
    </w:p>
    <w:p w14:paraId="431C41B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D.19 </w:t>
      </w:r>
    </w:p>
    <w:p w14:paraId="007B07F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5714456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75.</w:t>
      </w:r>
      <w:r>
        <w:rPr>
          <w:rFonts w:hint="eastAsia" w:ascii="宋体" w:hAnsi="宋体" w:eastAsia="宋体" w:cs="宋体"/>
          <w:snapToGrid w:val="0"/>
          <w:color w:val="000000"/>
          <w:spacing w:val="-6"/>
          <w:kern w:val="0"/>
          <w:sz w:val="20"/>
          <w:szCs w:val="20"/>
          <w:lang w:val="en-US" w:eastAsia="zh-CN" w:bidi="ar"/>
        </w:rPr>
        <w:t xml:space="preserve">一个长方体零件最大面的面积是最小面的 </w:t>
      </w:r>
      <w:r>
        <w:rPr>
          <w:rFonts w:hint="default" w:ascii="Times New Roman" w:hAnsi="Times New Roman" w:eastAsia="宋体" w:cs="Times New Roman"/>
          <w:snapToGrid w:val="0"/>
          <w:color w:val="000000"/>
          <w:spacing w:val="-6"/>
          <w:kern w:val="0"/>
          <w:sz w:val="20"/>
          <w:szCs w:val="20"/>
          <w:lang w:val="en-US" w:eastAsia="zh-CN" w:bidi="ar"/>
        </w:rPr>
        <w:t xml:space="preserve">3 </w:t>
      </w:r>
      <w:r>
        <w:rPr>
          <w:rFonts w:hint="eastAsia" w:ascii="宋体" w:hAnsi="宋体" w:eastAsia="宋体" w:cs="宋体"/>
          <w:snapToGrid w:val="0"/>
          <w:color w:val="000000"/>
          <w:spacing w:val="-6"/>
          <w:kern w:val="0"/>
          <w:sz w:val="20"/>
          <w:szCs w:val="20"/>
          <w:lang w:val="en-US" w:eastAsia="zh-CN" w:bidi="ar"/>
        </w:rPr>
        <w:t xml:space="preserve">倍，次大面的面积是最大、最小面面积平均值的 </w:t>
      </w:r>
      <w:r>
        <w:rPr>
          <w:rFonts w:hint="default" w:ascii="Times New Roman" w:hAnsi="Times New Roman" w:eastAsia="宋体" w:cs="Times New Roman"/>
          <w:snapToGrid w:val="0"/>
          <w:color w:val="000000"/>
          <w:spacing w:val="-6"/>
          <w:kern w:val="0"/>
          <w:sz w:val="20"/>
          <w:szCs w:val="20"/>
          <w:lang w:val="en-US" w:eastAsia="zh-CN" w:bidi="ar"/>
        </w:rPr>
        <w:t>9/16</w:t>
      </w:r>
      <w:r>
        <w:rPr>
          <w:rFonts w:hint="eastAsia" w:ascii="宋体" w:hAnsi="宋体" w:eastAsia="宋体" w:cs="宋体"/>
          <w:snapToGrid w:val="0"/>
          <w:color w:val="000000"/>
          <w:spacing w:val="-6"/>
          <w:kern w:val="0"/>
          <w:sz w:val="20"/>
          <w:szCs w:val="20"/>
          <w:lang w:val="en-US" w:eastAsia="zh-CN" w:bidi="ar"/>
        </w:rPr>
        <w:t xml:space="preserve">。问该零件最小面的长是其宽的多少倍？ </w:t>
      </w:r>
    </w:p>
    <w:p w14:paraId="365FC76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A.7/3 </w:t>
      </w:r>
    </w:p>
    <w:p w14:paraId="4B1AFC3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B.7/6 </w:t>
      </w:r>
    </w:p>
    <w:p w14:paraId="124F48C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C.8/3 </w:t>
      </w:r>
    </w:p>
    <w:p w14:paraId="1672026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D.4/3 </w:t>
      </w:r>
    </w:p>
    <w:p w14:paraId="43F55CC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C</w:t>
      </w:r>
    </w:p>
    <w:p w14:paraId="06639E95">
      <w:pPr>
        <w:keepNext w:val="0"/>
        <w:keepLines w:val="0"/>
        <w:widowControl/>
        <w:suppressLineNumbers w:val="0"/>
        <w:jc w:val="left"/>
      </w:pPr>
    </w:p>
    <w:p w14:paraId="062F389B">
      <w:pPr>
        <w:keepNext w:val="0"/>
        <w:keepLines w:val="0"/>
        <w:widowControl/>
        <w:suppressLineNumbers w:val="0"/>
        <w:jc w:val="left"/>
      </w:pPr>
    </w:p>
    <w:p w14:paraId="580E4C53">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3E593AB5">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49142CE4">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70472558">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2D68757D">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69795043">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7A2394F5">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0F2BF8FC">
      <w:pPr>
        <w:keepNext w:val="0"/>
        <w:keepLines w:val="0"/>
        <w:widowControl/>
        <w:suppressLineNumbers w:val="0"/>
        <w:jc w:val="center"/>
      </w:pPr>
      <w:r>
        <w:rPr>
          <w:rFonts w:hint="eastAsia" w:ascii="宋体" w:hAnsi="宋体" w:eastAsia="宋体" w:cs="宋体"/>
          <w:b/>
          <w:bCs/>
          <w:snapToGrid w:val="0"/>
          <w:color w:val="000000"/>
          <w:spacing w:val="-6"/>
          <w:kern w:val="0"/>
          <w:sz w:val="30"/>
          <w:szCs w:val="30"/>
          <w:lang w:val="en-US" w:eastAsia="zh-CN" w:bidi="ar"/>
        </w:rPr>
        <w:t>第五部分 判断推理</w:t>
      </w:r>
    </w:p>
    <w:p w14:paraId="6E4C4D12">
      <w:pPr>
        <w:keepNext w:val="0"/>
        <w:keepLines w:val="0"/>
        <w:widowControl/>
        <w:numPr>
          <w:ilvl w:val="0"/>
          <w:numId w:val="0"/>
        </w:numPr>
        <w:suppressLineNumbers w:val="0"/>
        <w:ind w:leftChars="0"/>
        <w:jc w:val="left"/>
        <w:rPr>
          <w:rFonts w:hint="eastAsia" w:ascii="宋体" w:hAnsi="宋体" w:eastAsia="宋体" w:cs="宋体"/>
          <w:b/>
          <w:bCs/>
          <w:snapToGrid w:val="0"/>
          <w:color w:val="000000"/>
          <w:spacing w:val="-6"/>
          <w:kern w:val="0"/>
          <w:sz w:val="30"/>
          <w:szCs w:val="30"/>
          <w:lang w:val="en-US" w:eastAsia="zh-CN" w:bidi="ar"/>
        </w:rPr>
      </w:pPr>
    </w:p>
    <w:p w14:paraId="1E041EC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76.</w:t>
      </w:r>
      <w:r>
        <w:rPr>
          <w:rFonts w:hint="eastAsia" w:ascii="宋体" w:hAnsi="宋体" w:eastAsia="宋体" w:cs="宋体"/>
          <w:snapToGrid w:val="0"/>
          <w:color w:val="000000"/>
          <w:spacing w:val="-6"/>
          <w:kern w:val="0"/>
          <w:sz w:val="20"/>
          <w:szCs w:val="20"/>
          <w:lang w:val="en-US" w:eastAsia="zh-CN" w:bidi="ar"/>
        </w:rPr>
        <w:t>从所给的四个选项中，选择最合适的一个填入问号处，使之呈现一定的规律性。</w:t>
      </w:r>
    </w:p>
    <w:p w14:paraId="72463316">
      <w:pPr>
        <w:keepNext w:val="0"/>
        <w:keepLines w:val="0"/>
        <w:widowControl/>
        <w:suppressLineNumbers w:val="0"/>
        <w:jc w:val="left"/>
      </w:pPr>
      <w:r>
        <w:drawing>
          <wp:inline distT="0" distB="0" distL="114300" distR="114300">
            <wp:extent cx="4199255" cy="2088515"/>
            <wp:effectExtent l="0" t="0" r="6985" b="14605"/>
            <wp:docPr id="5"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9"/>
                    <pic:cNvPicPr>
                      <a:picLocks noChangeAspect="1"/>
                    </pic:cNvPicPr>
                  </pic:nvPicPr>
                  <pic:blipFill>
                    <a:blip r:embed="rId9"/>
                    <a:stretch>
                      <a:fillRect/>
                    </a:stretch>
                  </pic:blipFill>
                  <pic:spPr>
                    <a:xfrm>
                      <a:off x="0" y="0"/>
                      <a:ext cx="4199255" cy="2088515"/>
                    </a:xfrm>
                    <a:prstGeom prst="rect">
                      <a:avLst/>
                    </a:prstGeom>
                    <a:noFill/>
                    <a:ln>
                      <a:noFill/>
                    </a:ln>
                  </pic:spPr>
                </pic:pic>
              </a:graphicData>
            </a:graphic>
          </wp:inline>
        </w:drawing>
      </w:r>
    </w:p>
    <w:p w14:paraId="0205D4C0">
      <w:pPr>
        <w:keepNext w:val="0"/>
        <w:keepLines w:val="0"/>
        <w:widowControl/>
        <w:suppressLineNumbers w:val="0"/>
        <w:jc w:val="left"/>
      </w:pPr>
    </w:p>
    <w:p w14:paraId="290E8E9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40DC94C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77.</w:t>
      </w:r>
      <w:r>
        <w:rPr>
          <w:rFonts w:hint="eastAsia" w:ascii="宋体" w:hAnsi="宋体" w:eastAsia="宋体" w:cs="宋体"/>
          <w:snapToGrid w:val="0"/>
          <w:color w:val="000000"/>
          <w:spacing w:val="-6"/>
          <w:kern w:val="0"/>
          <w:sz w:val="20"/>
          <w:szCs w:val="20"/>
          <w:lang w:val="en-US" w:eastAsia="zh-CN" w:bidi="ar"/>
        </w:rPr>
        <w:t>从所给的四个选项中，选择最合适的一个填入问号处，使之呈现一定的规律性。</w:t>
      </w:r>
    </w:p>
    <w:p w14:paraId="4B469B5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61485" cy="1717675"/>
            <wp:effectExtent l="0" t="0" r="5715" b="4445"/>
            <wp:docPr id="6"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0"/>
                    <pic:cNvPicPr>
                      <a:picLocks noChangeAspect="1"/>
                    </pic:cNvPicPr>
                  </pic:nvPicPr>
                  <pic:blipFill>
                    <a:blip r:embed="rId10"/>
                    <a:stretch>
                      <a:fillRect/>
                    </a:stretch>
                  </pic:blipFill>
                  <pic:spPr>
                    <a:xfrm>
                      <a:off x="0" y="0"/>
                      <a:ext cx="4261485" cy="1717675"/>
                    </a:xfrm>
                    <a:prstGeom prst="rect">
                      <a:avLst/>
                    </a:prstGeom>
                    <a:noFill/>
                    <a:ln>
                      <a:noFill/>
                    </a:ln>
                  </pic:spPr>
                </pic:pic>
              </a:graphicData>
            </a:graphic>
          </wp:inline>
        </w:drawing>
      </w:r>
    </w:p>
    <w:p w14:paraId="213B81C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5CBB0CA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78.</w:t>
      </w:r>
      <w:r>
        <w:rPr>
          <w:rFonts w:hint="eastAsia" w:ascii="宋体" w:hAnsi="宋体" w:eastAsia="宋体" w:cs="宋体"/>
          <w:snapToGrid w:val="0"/>
          <w:color w:val="000000"/>
          <w:spacing w:val="-6"/>
          <w:kern w:val="0"/>
          <w:sz w:val="20"/>
          <w:szCs w:val="20"/>
          <w:lang w:val="en-US" w:eastAsia="zh-CN" w:bidi="ar"/>
        </w:rPr>
        <w:t>从所给的四个选项中，选择最合适的一个填入问号处，使之呈现一定的规律性。</w:t>
      </w:r>
    </w:p>
    <w:p w14:paraId="21989221">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rPr>
      </w:pPr>
    </w:p>
    <w:p w14:paraId="145A08A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152900" cy="1181100"/>
            <wp:effectExtent l="0" t="0" r="7620" b="7620"/>
            <wp:docPr id="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1"/>
                    <pic:cNvPicPr>
                      <a:picLocks noChangeAspect="1"/>
                    </pic:cNvPicPr>
                  </pic:nvPicPr>
                  <pic:blipFill>
                    <a:blip r:embed="rId11"/>
                    <a:stretch>
                      <a:fillRect/>
                    </a:stretch>
                  </pic:blipFill>
                  <pic:spPr>
                    <a:xfrm>
                      <a:off x="0" y="0"/>
                      <a:ext cx="4152900" cy="1181100"/>
                    </a:xfrm>
                    <a:prstGeom prst="rect">
                      <a:avLst/>
                    </a:prstGeom>
                    <a:noFill/>
                    <a:ln>
                      <a:noFill/>
                    </a:ln>
                  </pic:spPr>
                </pic:pic>
              </a:graphicData>
            </a:graphic>
          </wp:inline>
        </w:drawing>
      </w:r>
    </w:p>
    <w:p w14:paraId="01790B8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2674620" cy="1005840"/>
            <wp:effectExtent l="0" t="0" r="7620" b="0"/>
            <wp:docPr id="8"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2"/>
                    <pic:cNvPicPr>
                      <a:picLocks noChangeAspect="1"/>
                    </pic:cNvPicPr>
                  </pic:nvPicPr>
                  <pic:blipFill>
                    <a:blip r:embed="rId12"/>
                    <a:stretch>
                      <a:fillRect/>
                    </a:stretch>
                  </pic:blipFill>
                  <pic:spPr>
                    <a:xfrm>
                      <a:off x="0" y="0"/>
                      <a:ext cx="2674620" cy="1005840"/>
                    </a:xfrm>
                    <a:prstGeom prst="rect">
                      <a:avLst/>
                    </a:prstGeom>
                    <a:noFill/>
                    <a:ln>
                      <a:noFill/>
                    </a:ln>
                  </pic:spPr>
                </pic:pic>
              </a:graphicData>
            </a:graphic>
          </wp:inline>
        </w:drawing>
      </w:r>
    </w:p>
    <w:p w14:paraId="009515F4">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3DD40AE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79.</w:t>
      </w:r>
      <w:r>
        <w:rPr>
          <w:rFonts w:hint="eastAsia" w:ascii="宋体" w:hAnsi="宋体" w:eastAsia="宋体" w:cs="宋体"/>
          <w:snapToGrid w:val="0"/>
          <w:color w:val="000000"/>
          <w:spacing w:val="-6"/>
          <w:kern w:val="0"/>
          <w:sz w:val="20"/>
          <w:szCs w:val="20"/>
          <w:lang w:val="en-US" w:eastAsia="zh-CN" w:bidi="ar"/>
        </w:rPr>
        <w:t xml:space="preserve">从所给的四个选项中，选择最合适的一个填入问号处，使之呈现一定的规律性。  </w:t>
      </w:r>
    </w:p>
    <w:p w14:paraId="0427C04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7A66808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80.</w:t>
      </w:r>
      <w:r>
        <w:rPr>
          <w:rFonts w:hint="eastAsia" w:ascii="宋体" w:hAnsi="宋体" w:eastAsia="宋体" w:cs="宋体"/>
          <w:snapToGrid w:val="0"/>
          <w:color w:val="000000"/>
          <w:spacing w:val="-6"/>
          <w:kern w:val="0"/>
          <w:sz w:val="20"/>
          <w:szCs w:val="20"/>
          <w:lang w:val="en-US" w:eastAsia="zh-CN" w:bidi="ar"/>
        </w:rPr>
        <w:t xml:space="preserve">左边为给定的多面体，现用经 </w:t>
      </w:r>
      <w:r>
        <w:rPr>
          <w:rFonts w:hint="default" w:ascii="Times New Roman" w:hAnsi="Times New Roman" w:eastAsia="宋体" w:cs="Times New Roman"/>
          <w:snapToGrid w:val="0"/>
          <w:color w:val="000000"/>
          <w:spacing w:val="-6"/>
          <w:kern w:val="0"/>
          <w:sz w:val="20"/>
          <w:szCs w:val="20"/>
          <w:lang w:val="en-US" w:eastAsia="zh-CN" w:bidi="ar"/>
        </w:rPr>
        <w:t>P</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Q</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R </w:t>
      </w:r>
      <w:r>
        <w:rPr>
          <w:rFonts w:hint="eastAsia" w:ascii="宋体" w:hAnsi="宋体" w:eastAsia="宋体" w:cs="宋体"/>
          <w:snapToGrid w:val="0"/>
          <w:color w:val="000000"/>
          <w:spacing w:val="-6"/>
          <w:kern w:val="0"/>
          <w:sz w:val="20"/>
          <w:szCs w:val="20"/>
          <w:lang w:val="en-US" w:eastAsia="zh-CN" w:bidi="ar"/>
        </w:rPr>
        <w:t>三点的平面对其进行切割，问哪个选项是其切面？</w:t>
      </w:r>
    </w:p>
    <w:p w14:paraId="03BC257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58945" cy="1111250"/>
            <wp:effectExtent l="0" t="0" r="8255" b="1270"/>
            <wp:docPr id="9"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3"/>
                    <pic:cNvPicPr>
                      <a:picLocks noChangeAspect="1"/>
                    </pic:cNvPicPr>
                  </pic:nvPicPr>
                  <pic:blipFill>
                    <a:blip r:embed="rId13"/>
                    <a:stretch>
                      <a:fillRect/>
                    </a:stretch>
                  </pic:blipFill>
                  <pic:spPr>
                    <a:xfrm>
                      <a:off x="0" y="0"/>
                      <a:ext cx="4258945" cy="1111250"/>
                    </a:xfrm>
                    <a:prstGeom prst="rect">
                      <a:avLst/>
                    </a:prstGeom>
                    <a:noFill/>
                    <a:ln>
                      <a:noFill/>
                    </a:ln>
                  </pic:spPr>
                </pic:pic>
              </a:graphicData>
            </a:graphic>
          </wp:inline>
        </w:drawing>
      </w:r>
    </w:p>
    <w:p w14:paraId="4A260C6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4E2C755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81.</w:t>
      </w:r>
      <w:r>
        <w:rPr>
          <w:rFonts w:hint="eastAsia" w:ascii="宋体" w:hAnsi="宋体" w:eastAsia="宋体" w:cs="宋体"/>
          <w:snapToGrid w:val="0"/>
          <w:color w:val="000000"/>
          <w:spacing w:val="-6"/>
          <w:kern w:val="0"/>
          <w:sz w:val="20"/>
          <w:szCs w:val="20"/>
          <w:lang w:val="en-US" w:eastAsia="zh-CN" w:bidi="ar"/>
        </w:rPr>
        <w:t>以下除哪项外，都是同一正方体纸盒的外表面展开图？</w:t>
      </w:r>
    </w:p>
    <w:p w14:paraId="49BFC7B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60215" cy="1024890"/>
            <wp:effectExtent l="0" t="0" r="6985" b="11430"/>
            <wp:docPr id="1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4"/>
                    <pic:cNvPicPr>
                      <a:picLocks noChangeAspect="1"/>
                    </pic:cNvPicPr>
                  </pic:nvPicPr>
                  <pic:blipFill>
                    <a:blip r:embed="rId14"/>
                    <a:stretch>
                      <a:fillRect/>
                    </a:stretch>
                  </pic:blipFill>
                  <pic:spPr>
                    <a:xfrm>
                      <a:off x="0" y="0"/>
                      <a:ext cx="4260215" cy="1024890"/>
                    </a:xfrm>
                    <a:prstGeom prst="rect">
                      <a:avLst/>
                    </a:prstGeom>
                    <a:noFill/>
                    <a:ln>
                      <a:noFill/>
                    </a:ln>
                  </pic:spPr>
                </pic:pic>
              </a:graphicData>
            </a:graphic>
          </wp:inline>
        </w:drawing>
      </w:r>
    </w:p>
    <w:p w14:paraId="415B3A1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71F2B19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82.</w:t>
      </w:r>
      <w:r>
        <w:rPr>
          <w:rFonts w:hint="eastAsia" w:ascii="宋体" w:hAnsi="宋体" w:eastAsia="宋体" w:cs="宋体"/>
          <w:snapToGrid w:val="0"/>
          <w:color w:val="000000"/>
          <w:spacing w:val="-6"/>
          <w:kern w:val="0"/>
          <w:sz w:val="20"/>
          <w:szCs w:val="20"/>
          <w:lang w:val="en-US" w:eastAsia="zh-CN" w:bidi="ar"/>
        </w:rPr>
        <w:t xml:space="preserve">以下为 </w:t>
      </w:r>
      <w:r>
        <w:rPr>
          <w:rFonts w:hint="default" w:ascii="Times New Roman" w:hAnsi="Times New Roman" w:eastAsia="宋体" w:cs="Times New Roman"/>
          <w:snapToGrid w:val="0"/>
          <w:color w:val="000000"/>
          <w:spacing w:val="-6"/>
          <w:kern w:val="0"/>
          <w:sz w:val="20"/>
          <w:szCs w:val="20"/>
          <w:lang w:val="en-US" w:eastAsia="zh-CN" w:bidi="ar"/>
        </w:rPr>
        <w:t xml:space="preserve">4 </w:t>
      </w:r>
      <w:r>
        <w:rPr>
          <w:rFonts w:hint="eastAsia" w:ascii="宋体" w:hAnsi="宋体" w:eastAsia="宋体" w:cs="宋体"/>
          <w:snapToGrid w:val="0"/>
          <w:color w:val="000000"/>
          <w:spacing w:val="-6"/>
          <w:kern w:val="0"/>
          <w:sz w:val="20"/>
          <w:szCs w:val="20"/>
          <w:lang w:val="en-US" w:eastAsia="zh-CN" w:bidi="ar"/>
        </w:rPr>
        <w:t xml:space="preserve">个由若干棱长为 </w:t>
      </w:r>
      <w:r>
        <w:rPr>
          <w:rFonts w:hint="default" w:ascii="Times New Roman" w:hAnsi="Times New Roman" w:eastAsia="宋体" w:cs="Times New Roman"/>
          <w:snapToGrid w:val="0"/>
          <w:color w:val="000000"/>
          <w:spacing w:val="-6"/>
          <w:kern w:val="0"/>
          <w:sz w:val="20"/>
          <w:szCs w:val="20"/>
          <w:lang w:val="en-US" w:eastAsia="zh-CN" w:bidi="ar"/>
        </w:rPr>
        <w:t xml:space="preserve">1 </w:t>
      </w:r>
      <w:r>
        <w:rPr>
          <w:rFonts w:hint="eastAsia" w:ascii="宋体" w:hAnsi="宋体" w:eastAsia="宋体" w:cs="宋体"/>
          <w:snapToGrid w:val="0"/>
          <w:color w:val="000000"/>
          <w:spacing w:val="-6"/>
          <w:kern w:val="0"/>
          <w:sz w:val="20"/>
          <w:szCs w:val="20"/>
          <w:lang w:val="en-US" w:eastAsia="zh-CN" w:bidi="ar"/>
        </w:rPr>
        <w:t xml:space="preserve">的正方体拼成的多面体，将它们在 </w:t>
      </w:r>
      <w:r>
        <w:rPr>
          <w:rFonts w:hint="default" w:ascii="Times New Roman" w:hAnsi="Times New Roman" w:eastAsia="宋体" w:cs="Times New Roman"/>
          <w:snapToGrid w:val="0"/>
          <w:color w:val="000000"/>
          <w:spacing w:val="-6"/>
          <w:kern w:val="0"/>
          <w:sz w:val="20"/>
          <w:szCs w:val="20"/>
          <w:lang w:val="en-US" w:eastAsia="zh-CN" w:bidi="ar"/>
        </w:rPr>
        <w:t>3</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3</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4 </w:t>
      </w:r>
      <w:r>
        <w:rPr>
          <w:rFonts w:hint="eastAsia" w:ascii="宋体" w:hAnsi="宋体" w:eastAsia="宋体" w:cs="宋体"/>
          <w:snapToGrid w:val="0"/>
          <w:color w:val="000000"/>
          <w:spacing w:val="-6"/>
          <w:kern w:val="0"/>
          <w:sz w:val="20"/>
          <w:szCs w:val="20"/>
          <w:lang w:val="en-US" w:eastAsia="zh-CN" w:bidi="ar"/>
        </w:rPr>
        <w:t>的空间内进行拼接，不可能拼成以下四个选项中的哪一个多面体？</w:t>
      </w:r>
    </w:p>
    <w:p w14:paraId="1BF80AA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62120" cy="2152015"/>
            <wp:effectExtent l="0" t="0" r="5080" b="12065"/>
            <wp:docPr id="1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5"/>
                    <pic:cNvPicPr>
                      <a:picLocks noChangeAspect="1"/>
                    </pic:cNvPicPr>
                  </pic:nvPicPr>
                  <pic:blipFill>
                    <a:blip r:embed="rId15"/>
                    <a:stretch>
                      <a:fillRect/>
                    </a:stretch>
                  </pic:blipFill>
                  <pic:spPr>
                    <a:xfrm>
                      <a:off x="0" y="0"/>
                      <a:ext cx="4262120" cy="2152015"/>
                    </a:xfrm>
                    <a:prstGeom prst="rect">
                      <a:avLst/>
                    </a:prstGeom>
                    <a:noFill/>
                    <a:ln>
                      <a:noFill/>
                    </a:ln>
                  </pic:spPr>
                </pic:pic>
              </a:graphicData>
            </a:graphic>
          </wp:inline>
        </w:drawing>
      </w:r>
    </w:p>
    <w:p w14:paraId="1BA28B4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37AF774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83.</w:t>
      </w:r>
      <w:r>
        <w:rPr>
          <w:rFonts w:hint="eastAsia" w:ascii="宋体" w:hAnsi="宋体" w:eastAsia="宋体" w:cs="宋体"/>
          <w:snapToGrid w:val="0"/>
          <w:color w:val="000000"/>
          <w:spacing w:val="-6"/>
          <w:kern w:val="0"/>
          <w:sz w:val="20"/>
          <w:szCs w:val="20"/>
          <w:lang w:val="en-US" w:eastAsia="zh-CN" w:bidi="ar"/>
        </w:rPr>
        <w:t>把下面的六个图形分为两类，使每一类图形都有各自的共同特征或规律，分类正确的一项是：</w:t>
      </w:r>
    </w:p>
    <w:p w14:paraId="3A17B46F">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56405" cy="774700"/>
            <wp:effectExtent l="0" t="0" r="10795" b="2540"/>
            <wp:docPr id="12"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6"/>
                    <pic:cNvPicPr>
                      <a:picLocks noChangeAspect="1"/>
                    </pic:cNvPicPr>
                  </pic:nvPicPr>
                  <pic:blipFill>
                    <a:blip r:embed="rId16"/>
                    <a:stretch>
                      <a:fillRect/>
                    </a:stretch>
                  </pic:blipFill>
                  <pic:spPr>
                    <a:xfrm>
                      <a:off x="0" y="0"/>
                      <a:ext cx="4256405" cy="774700"/>
                    </a:xfrm>
                    <a:prstGeom prst="rect">
                      <a:avLst/>
                    </a:prstGeom>
                    <a:noFill/>
                    <a:ln>
                      <a:noFill/>
                    </a:ln>
                  </pic:spPr>
                </pic:pic>
              </a:graphicData>
            </a:graphic>
          </wp:inline>
        </w:drawing>
      </w:r>
    </w:p>
    <w:p w14:paraId="39E9136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①③⑤，②④⑥ </w:t>
      </w:r>
    </w:p>
    <w:p w14:paraId="243943D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①③⑥，②④⑤ </w:t>
      </w:r>
    </w:p>
    <w:p w14:paraId="5E821E3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①②④，③⑤⑥ </w:t>
      </w:r>
    </w:p>
    <w:p w14:paraId="072BD27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①③④，②⑤⑥ </w:t>
      </w:r>
    </w:p>
    <w:p w14:paraId="5806455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180DB86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84.</w:t>
      </w:r>
      <w:r>
        <w:rPr>
          <w:rFonts w:hint="eastAsia" w:ascii="宋体" w:hAnsi="宋体" w:eastAsia="宋体" w:cs="宋体"/>
          <w:snapToGrid w:val="0"/>
          <w:color w:val="000000"/>
          <w:spacing w:val="-6"/>
          <w:kern w:val="0"/>
          <w:sz w:val="20"/>
          <w:szCs w:val="20"/>
          <w:lang w:val="en-US" w:eastAsia="zh-CN" w:bidi="ar"/>
        </w:rPr>
        <w:t>把下面的六个图形分为两类，使每一类图形都有各自的共同特征或规律，分类正确的一项是：</w:t>
      </w:r>
    </w:p>
    <w:p w14:paraId="2D2AF36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57675" cy="828675"/>
            <wp:effectExtent l="0" t="0" r="9525" b="9525"/>
            <wp:docPr id="13"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7"/>
                    <pic:cNvPicPr>
                      <a:picLocks noChangeAspect="1"/>
                    </pic:cNvPicPr>
                  </pic:nvPicPr>
                  <pic:blipFill>
                    <a:blip r:embed="rId17"/>
                    <a:stretch>
                      <a:fillRect/>
                    </a:stretch>
                  </pic:blipFill>
                  <pic:spPr>
                    <a:xfrm>
                      <a:off x="0" y="0"/>
                      <a:ext cx="4257675" cy="828675"/>
                    </a:xfrm>
                    <a:prstGeom prst="rect">
                      <a:avLst/>
                    </a:prstGeom>
                    <a:noFill/>
                    <a:ln>
                      <a:noFill/>
                    </a:ln>
                  </pic:spPr>
                </pic:pic>
              </a:graphicData>
            </a:graphic>
          </wp:inline>
        </w:drawing>
      </w:r>
    </w:p>
    <w:p w14:paraId="3D318D1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①③⑤，②④⑥ </w:t>
      </w:r>
    </w:p>
    <w:p w14:paraId="6AAA144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①②④，③⑤⑥ </w:t>
      </w:r>
    </w:p>
    <w:p w14:paraId="2A8AC61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①②③，④⑤⑥ </w:t>
      </w:r>
    </w:p>
    <w:p w14:paraId="42003F6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①⑤⑥，②③④ </w:t>
      </w:r>
    </w:p>
    <w:p w14:paraId="2035AEA4">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1D50E26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85.</w:t>
      </w:r>
      <w:r>
        <w:rPr>
          <w:rFonts w:hint="eastAsia" w:ascii="宋体" w:hAnsi="宋体" w:eastAsia="宋体" w:cs="宋体"/>
          <w:snapToGrid w:val="0"/>
          <w:color w:val="000000"/>
          <w:spacing w:val="-6"/>
          <w:kern w:val="0"/>
          <w:sz w:val="20"/>
          <w:szCs w:val="20"/>
          <w:lang w:val="en-US" w:eastAsia="zh-CN" w:bidi="ar"/>
        </w:rPr>
        <w:t>把下面的六个图形分为两类，使每一类图形都有各自的共同特征或规律，分类正确的一项是：</w:t>
      </w:r>
    </w:p>
    <w:p w14:paraId="3C98779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60215" cy="882015"/>
            <wp:effectExtent l="0" t="0" r="6985" b="1905"/>
            <wp:docPr id="14"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8"/>
                    <pic:cNvPicPr>
                      <a:picLocks noChangeAspect="1"/>
                    </pic:cNvPicPr>
                  </pic:nvPicPr>
                  <pic:blipFill>
                    <a:blip r:embed="rId18"/>
                    <a:stretch>
                      <a:fillRect/>
                    </a:stretch>
                  </pic:blipFill>
                  <pic:spPr>
                    <a:xfrm>
                      <a:off x="0" y="0"/>
                      <a:ext cx="4260215" cy="882015"/>
                    </a:xfrm>
                    <a:prstGeom prst="rect">
                      <a:avLst/>
                    </a:prstGeom>
                    <a:noFill/>
                    <a:ln>
                      <a:noFill/>
                    </a:ln>
                  </pic:spPr>
                </pic:pic>
              </a:graphicData>
            </a:graphic>
          </wp:inline>
        </w:drawing>
      </w:r>
    </w:p>
    <w:p w14:paraId="04F337E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①③⑤，②④⑥ </w:t>
      </w:r>
    </w:p>
    <w:p w14:paraId="2CB847E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①④⑥，②③⑤ </w:t>
      </w:r>
    </w:p>
    <w:p w14:paraId="199AEED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①③④，②⑤⑥ </w:t>
      </w:r>
    </w:p>
    <w:p w14:paraId="25BAD89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①②⑥，③④⑤ </w:t>
      </w:r>
    </w:p>
    <w:p w14:paraId="390A25E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4A8287A6">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二、定义判断。每道题先给出定义，然后列出四种情况，请根据定义和题义目要求选出一个最恰当的答案。注意：假设这个定义是正确的，不容置疑的。 </w:t>
      </w:r>
    </w:p>
    <w:p w14:paraId="09250F64">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请开始答题： </w:t>
      </w:r>
    </w:p>
    <w:p w14:paraId="1A5AA61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86.</w:t>
      </w:r>
      <w:r>
        <w:rPr>
          <w:rFonts w:hint="eastAsia" w:ascii="宋体" w:hAnsi="宋体" w:eastAsia="宋体" w:cs="宋体"/>
          <w:snapToGrid w:val="0"/>
          <w:color w:val="000000"/>
          <w:spacing w:val="-6"/>
          <w:kern w:val="0"/>
          <w:sz w:val="20"/>
          <w:szCs w:val="20"/>
          <w:lang w:val="en-US" w:eastAsia="zh-CN" w:bidi="ar"/>
        </w:rPr>
        <w:t xml:space="preserve">后视错觉是个体的一种认知偏差，是指在一件事情已经发生之后，即使个体之前没有对此做过预判，也认为自己“早就知道会这样”。 </w:t>
      </w:r>
    </w:p>
    <w:p w14:paraId="1F1E50A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根据上述定义，下列符合后视错觉的是： </w:t>
      </w:r>
    </w:p>
    <w:p w14:paraId="1E33230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晓琳参加一个重要会议迟到了。她懊悔地说：“我早该想到周一早上会要堵车，不该按周末的情况预估通勤时间。” </w:t>
      </w:r>
    </w:p>
    <w:p w14:paraId="26C0EF0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晓菲在股票大跌之后，懊恼地说：“我早就觉察到那些信号了，觉得走势不太好，怎么就没有早卖出啊。” </w:t>
      </w:r>
    </w:p>
    <w:p w14:paraId="49FC7C0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小瑾是一个悲观的人，她申请升职失败后，灰心丧气地说：“我早就知道，我什么都不如别人，什么也做不好。” </w:t>
      </w:r>
    </w:p>
    <w:p w14:paraId="2BAB4F6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朋友邀阿欣去爬山，阿欣说高温预警不宜爬山，朋友坚持去，才到半山腰就汗流浃背，阿欣说：“我早就说会很热啊。” </w:t>
      </w:r>
    </w:p>
    <w:p w14:paraId="7B7F94A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B</w:t>
      </w:r>
    </w:p>
    <w:p w14:paraId="7ABB123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87.</w:t>
      </w:r>
      <w:r>
        <w:rPr>
          <w:rFonts w:hint="eastAsia" w:ascii="宋体" w:hAnsi="宋体" w:eastAsia="宋体" w:cs="宋体"/>
          <w:snapToGrid w:val="0"/>
          <w:color w:val="000000"/>
          <w:spacing w:val="-6"/>
          <w:kern w:val="0"/>
          <w:sz w:val="20"/>
          <w:szCs w:val="20"/>
          <w:lang w:val="en-US" w:eastAsia="zh-CN" w:bidi="ar"/>
        </w:rPr>
        <w:t>选择或然率理论解释的是影响受众对大众传播内容选择的决定性因素。该理论的核心公式是：选择或然率</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报偿的保证</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费力的程度，其中，报偿的保证指的是传播内容满足选择者需要的程度，即内容对于受众的吸引力和实用性；费力的程度指的是获取传播内容和使用传播途径的难度。 </w:t>
      </w:r>
    </w:p>
    <w:p w14:paraId="0059DE1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根据上述定义，下列属于提高选择或然率的传播行为的是： </w:t>
      </w:r>
    </w:p>
    <w:p w14:paraId="0ED7764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视频号平台借助数据分析和个性化算法，给用户推荐符合其偏好的视频 </w:t>
      </w:r>
    </w:p>
    <w:p w14:paraId="744682D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时下流行的某影视作品在播放之前被插入一段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分钟的广告 </w:t>
      </w:r>
    </w:p>
    <w:p w14:paraId="7F92E88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某商家优化了商品布局，将畅销商品放在出口处，顾客可直接扫码支付 </w:t>
      </w:r>
    </w:p>
    <w:p w14:paraId="177C30B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电视内置视频播放软件，开机后须先注册登录，才可搜索相关内容观看 </w:t>
      </w:r>
    </w:p>
    <w:p w14:paraId="59A022B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6420961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88.</w:t>
      </w:r>
      <w:r>
        <w:rPr>
          <w:rFonts w:hint="eastAsia" w:ascii="宋体" w:hAnsi="宋体" w:eastAsia="宋体" w:cs="宋体"/>
          <w:snapToGrid w:val="0"/>
          <w:color w:val="000000"/>
          <w:spacing w:val="-6"/>
          <w:kern w:val="0"/>
          <w:sz w:val="20"/>
          <w:szCs w:val="20"/>
          <w:lang w:val="en-US" w:eastAsia="zh-CN" w:bidi="ar"/>
        </w:rPr>
        <w:t xml:space="preserve">自动投案是指犯罪事实或者犯罪嫌疑人未被司法机关发觉，或者虽被发觉，但犯罪嫌疑人尚未受到讯问、未被采取强制措施时，主动、直接向公安机关、人民检察院或者人民法院投案。 </w:t>
      </w:r>
    </w:p>
    <w:p w14:paraId="2274CEA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根据上述定义，下列不属于自动投案的是： </w:t>
      </w:r>
    </w:p>
    <w:p w14:paraId="25BD63E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甲实施多起电信诈骗，获利十余万元，在公安机关进行的一次隐患排查入户走访中， </w:t>
      </w:r>
    </w:p>
    <w:p w14:paraId="31356FA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发现甲形迹可疑，经盘间甲主动交代了自己的罪行 </w:t>
      </w:r>
    </w:p>
    <w:p w14:paraId="3DD04C7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乙致人重伤后潜逃，在公安机关经侦查确认乙为该案的犯罪嫌疑人时，乙正因酒后驾驶被行政拘留，经公安机关讯问后，乙交代了自己的罪行 </w:t>
      </w:r>
    </w:p>
    <w:p w14:paraId="7A0B602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丙多次挪用公款，其父母发现异常后，多次规劝其投案自首无效，直至单位发现款项异常开始查账后，丙才到公安机关交代自己的罪行 </w:t>
      </w:r>
    </w:p>
    <w:p w14:paraId="6ABFF69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丁因入室盗窃被判处有期徒刑，在服刑期间，丁主动向公安机关交代自己系公安机关久未破获的“</w:t>
      </w:r>
      <w:r>
        <w:rPr>
          <w:rFonts w:hint="default" w:ascii="Times New Roman" w:hAnsi="Times New Roman" w:eastAsia="宋体" w:cs="Times New Roman"/>
          <w:snapToGrid w:val="0"/>
          <w:color w:val="000000"/>
          <w:spacing w:val="-6"/>
          <w:kern w:val="0"/>
          <w:sz w:val="20"/>
          <w:szCs w:val="20"/>
          <w:lang w:val="en-US" w:eastAsia="zh-CN" w:bidi="ar"/>
        </w:rPr>
        <w:t>7</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26</w:t>
      </w:r>
      <w:r>
        <w:rPr>
          <w:rFonts w:hint="eastAsia" w:ascii="宋体" w:hAnsi="宋体" w:eastAsia="宋体" w:cs="宋体"/>
          <w:snapToGrid w:val="0"/>
          <w:color w:val="000000"/>
          <w:spacing w:val="-6"/>
          <w:kern w:val="0"/>
          <w:sz w:val="20"/>
          <w:szCs w:val="20"/>
          <w:lang w:val="en-US" w:eastAsia="zh-CN" w:bidi="ar"/>
        </w:rPr>
        <w:t xml:space="preserve">”走私案的主谋之一 </w:t>
      </w:r>
    </w:p>
    <w:p w14:paraId="0B3DAB9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2BA6910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89.</w:t>
      </w:r>
      <w:r>
        <w:rPr>
          <w:rFonts w:hint="eastAsia" w:ascii="宋体" w:hAnsi="宋体" w:eastAsia="宋体" w:cs="宋体"/>
          <w:snapToGrid w:val="0"/>
          <w:color w:val="000000"/>
          <w:spacing w:val="-6"/>
          <w:kern w:val="0"/>
          <w:sz w:val="20"/>
          <w:szCs w:val="20"/>
          <w:lang w:val="en-US" w:eastAsia="zh-CN" w:bidi="ar"/>
        </w:rPr>
        <w:t xml:space="preserve">三维反求是测量技术、数据处理技术、图形处理技术和加工技术相结合的综合性技术，是指用一定的测量方法对实物进行测量，根据测量数据通过三维几何建模方法重构实物的数字化模型的过程。 </w:t>
      </w:r>
    </w:p>
    <w:p w14:paraId="13A2718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根据上述定义，下列关于三维反求工程的步骤，排序正确的是： </w:t>
      </w:r>
    </w:p>
    <w:p w14:paraId="72FFBC9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①通过制造样品来验证模型是否满足精度和其他性能指标</w:t>
      </w:r>
    </w:p>
    <w:p w14:paraId="1924AFD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②通过一定的算法，从测量数据中提取零件的设计与加工特征 </w:t>
      </w:r>
    </w:p>
    <w:p w14:paraId="33F1629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③使用高精度的三维测量技术获取零件表面各点的空间坐标 </w:t>
      </w:r>
    </w:p>
    <w:p w14:paraId="54E364B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④使用计算机辅助设计软件将数据与特征重构为三维模型 </w:t>
      </w:r>
    </w:p>
    <w:p w14:paraId="157E35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①③④② </w:t>
      </w:r>
    </w:p>
    <w:p w14:paraId="0EB25C8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①④③② </w:t>
      </w:r>
    </w:p>
    <w:p w14:paraId="41F780C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③①②④ </w:t>
      </w:r>
    </w:p>
    <w:p w14:paraId="38DB5D7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③②④① </w:t>
      </w:r>
    </w:p>
    <w:p w14:paraId="1D0C5B2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5761DD3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90.</w:t>
      </w:r>
      <w:r>
        <w:rPr>
          <w:rFonts w:hint="eastAsia" w:ascii="宋体" w:hAnsi="宋体" w:eastAsia="宋体" w:cs="宋体"/>
          <w:snapToGrid w:val="0"/>
          <w:color w:val="000000"/>
          <w:spacing w:val="-6"/>
          <w:kern w:val="0"/>
          <w:sz w:val="20"/>
          <w:szCs w:val="20"/>
          <w:lang w:val="en-US" w:eastAsia="zh-CN" w:bidi="ar"/>
        </w:rPr>
        <w:t xml:space="preserve">都、国、鄙、邑四个词在古汉语中表示不同的概念。“国”既可以指诸侯的封地，又可以指天子或诸侯的都城。“都”本义是大城邑，后引申为具有重要政治地位的大城邑。“鄙”在古汉语中是指边邑，即边远的小城。“邑”在古汉语中是指城镇。 </w:t>
      </w:r>
    </w:p>
    <w:p w14:paraId="704AE88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下列图示对上述概念关系的描述，</w:t>
      </w:r>
    </w:p>
    <w:p w14:paraId="0FE2493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1090295" cy="2542540"/>
            <wp:effectExtent l="0" t="0" r="6985" b="2540"/>
            <wp:docPr id="15"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9"/>
                    <pic:cNvPicPr>
                      <a:picLocks noChangeAspect="1"/>
                    </pic:cNvPicPr>
                  </pic:nvPicPr>
                  <pic:blipFill>
                    <a:blip r:embed="rId19"/>
                    <a:stretch>
                      <a:fillRect/>
                    </a:stretch>
                  </pic:blipFill>
                  <pic:spPr>
                    <a:xfrm>
                      <a:off x="0" y="0"/>
                      <a:ext cx="1090295" cy="2542540"/>
                    </a:xfrm>
                    <a:prstGeom prst="rect">
                      <a:avLst/>
                    </a:prstGeom>
                    <a:noFill/>
                    <a:ln>
                      <a:noFill/>
                    </a:ln>
                  </pic:spPr>
                </pic:pic>
              </a:graphicData>
            </a:graphic>
          </wp:inline>
        </w:drawing>
      </w:r>
    </w:p>
    <w:p w14:paraId="6820B2E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723C521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91.</w:t>
      </w:r>
      <w:r>
        <w:rPr>
          <w:rFonts w:hint="eastAsia" w:ascii="宋体" w:hAnsi="宋体" w:eastAsia="宋体" w:cs="宋体"/>
          <w:snapToGrid w:val="0"/>
          <w:color w:val="000000"/>
          <w:spacing w:val="-6"/>
          <w:kern w:val="0"/>
          <w:sz w:val="20"/>
          <w:szCs w:val="20"/>
          <w:lang w:val="en-US" w:eastAsia="zh-CN" w:bidi="ar"/>
        </w:rPr>
        <w:t xml:space="preserve">流域内降雨或融冰化雪都可以引起河水显著上涨。春季，气候转暖，流域内的季节性积雪融化、河流解冻或春雨，引起河水上涨称春汛。因正值桃花盛开时节，故亦称桃汛。我国北方，把春季河冰解冻引起的涨水现象专称为凌汛。夏季，流域内的暴雨或高山冰川和积雪融化，使河水急剧上涨，称夏汛。我国习惯上把发生在夏季三伏前后的汛水称为伏汛，秋季由于暴雨，河水发生急剧上涨称秋汛。 </w:t>
      </w:r>
    </w:p>
    <w:p w14:paraId="3E1FCE4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根据上述定义，下列判断错误的是： </w:t>
      </w:r>
    </w:p>
    <w:p w14:paraId="19258D6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春汛包含凌汛 </w:t>
      </w:r>
    </w:p>
    <w:p w14:paraId="329F34E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夏汛包含伏汛 </w:t>
      </w:r>
    </w:p>
    <w:p w14:paraId="2C1E3F1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伏汛在凌汛前 </w:t>
      </w:r>
    </w:p>
    <w:p w14:paraId="3601E09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春汛就是桃汛 </w:t>
      </w:r>
    </w:p>
    <w:p w14:paraId="0BC3942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45B5805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92.</w:t>
      </w:r>
      <w:r>
        <w:rPr>
          <w:rFonts w:hint="eastAsia" w:ascii="宋体" w:hAnsi="宋体" w:eastAsia="宋体" w:cs="宋体"/>
          <w:snapToGrid w:val="0"/>
          <w:color w:val="000000"/>
          <w:spacing w:val="-6"/>
          <w:kern w:val="0"/>
          <w:sz w:val="20"/>
          <w:szCs w:val="20"/>
          <w:lang w:val="en-US" w:eastAsia="zh-CN" w:bidi="ar"/>
        </w:rPr>
        <w:t xml:space="preserve">断取是修辞格的一种，引用词语时，只截取其中部分字眼的意义，而置其余于不顾，是一种“断章取义”的修辞方式。 </w:t>
      </w:r>
    </w:p>
    <w:p w14:paraId="37171DD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根据上述定义，下列没有采用断取修辞方式的是： </w:t>
      </w:r>
    </w:p>
    <w:p w14:paraId="73E36AA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相较于他之前见过的大阵仗，眼前的情形在他眼中就是“小儿科” </w:t>
      </w:r>
    </w:p>
    <w:p w14:paraId="17A21BD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小林—心扑在科研项目上，他至今还是一个“光杆司令”呢 </w:t>
      </w:r>
    </w:p>
    <w:p w14:paraId="19505A5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山林发生火灾，消防员“上刀山下火海”，奋力保卫人民的生命和财产安全 </w:t>
      </w:r>
    </w:p>
    <w:p w14:paraId="11E66B6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实在走投无路，他最终还是找老师“开药方”，问询这一困局的破解之道 </w:t>
      </w:r>
    </w:p>
    <w:p w14:paraId="5505811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1CD293E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93.</w:t>
      </w:r>
      <w:r>
        <w:rPr>
          <w:rFonts w:hint="eastAsia" w:ascii="宋体" w:hAnsi="宋体" w:eastAsia="宋体" w:cs="宋体"/>
          <w:snapToGrid w:val="0"/>
          <w:color w:val="000000"/>
          <w:spacing w:val="-6"/>
          <w:kern w:val="0"/>
          <w:sz w:val="20"/>
          <w:szCs w:val="20"/>
          <w:lang w:val="en-US" w:eastAsia="zh-CN" w:bidi="ar"/>
        </w:rPr>
        <w:t>细胞化学是研究细胞的化学成分及其在细胞活动中的变化和定位的学科。具体来说，细胞化学是在不破坏细胞形态结构的状况下，用生化的和物理的技术对细胞的各种组分做定量分析，研究其动态变化，了解细胞代谢过程中各种细胞组分的作用。根据上述定义，下列属于细胞化学研究范围的是</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7933AD7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观察玉米根系细胞从周围环境中摄取营养的能力以及受环境影响产生的活动 </w:t>
      </w:r>
    </w:p>
    <w:p w14:paraId="146A3EA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根据哺乳动物细胞内核酸、蛋白质吸收不同紫外光的特点，分析其含量 </w:t>
      </w:r>
    </w:p>
    <w:p w14:paraId="5D4B6A1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抽取患者骨髓液，根据显微镜下骨髓细胞的不同形态，判断患者的疾病种类 </w:t>
      </w:r>
    </w:p>
    <w:p w14:paraId="6082579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研究小鼠免疫细胞受病原体侵入后，病原体释放毒素杀死免疫细胞的动态过程 </w:t>
      </w:r>
    </w:p>
    <w:p w14:paraId="6EE67A6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39AEEC9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94.</w:t>
      </w:r>
      <w:r>
        <w:rPr>
          <w:rFonts w:hint="eastAsia" w:ascii="宋体" w:hAnsi="宋体" w:eastAsia="宋体" w:cs="宋体"/>
          <w:snapToGrid w:val="0"/>
          <w:color w:val="000000"/>
          <w:spacing w:val="-6"/>
          <w:kern w:val="0"/>
          <w:sz w:val="20"/>
          <w:szCs w:val="20"/>
          <w:lang w:val="en-US" w:eastAsia="zh-CN" w:bidi="ar"/>
        </w:rPr>
        <w:t>同一认定是指侦査中具有专门知识的人或了解客体特征的人，通过比较先后出现的客体的特征而对客体是否同一做出的判断。这里所说的客体是指与案件有关联的人或物。根据上述定义，下列属于同一认定的是</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745590D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通过对手机中所存储的信息进行检查，确定其是否为报案人所丢失的手机 </w:t>
      </w:r>
    </w:p>
    <w:p w14:paraId="25C8D8E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通过对犯罪现场提取的 </w:t>
      </w:r>
      <w:r>
        <w:rPr>
          <w:rFonts w:hint="default" w:ascii="Times New Roman" w:hAnsi="Times New Roman" w:eastAsia="宋体" w:cs="Times New Roman"/>
          <w:snapToGrid w:val="0"/>
          <w:color w:val="000000"/>
          <w:spacing w:val="-6"/>
          <w:kern w:val="0"/>
          <w:sz w:val="20"/>
          <w:szCs w:val="20"/>
          <w:lang w:val="en-US" w:eastAsia="zh-CN" w:bidi="ar"/>
        </w:rPr>
        <w:t xml:space="preserve">DNA </w:t>
      </w:r>
      <w:r>
        <w:rPr>
          <w:rFonts w:hint="eastAsia" w:ascii="宋体" w:hAnsi="宋体" w:eastAsia="宋体" w:cs="宋体"/>
          <w:snapToGrid w:val="0"/>
          <w:color w:val="000000"/>
          <w:spacing w:val="-6"/>
          <w:kern w:val="0"/>
          <w:sz w:val="20"/>
          <w:szCs w:val="20"/>
          <w:lang w:val="en-US" w:eastAsia="zh-CN" w:bidi="ar"/>
        </w:rPr>
        <w:t xml:space="preserve">信息与 </w:t>
      </w:r>
      <w:r>
        <w:rPr>
          <w:rFonts w:hint="default" w:ascii="Times New Roman" w:hAnsi="Times New Roman" w:eastAsia="宋体" w:cs="Times New Roman"/>
          <w:snapToGrid w:val="0"/>
          <w:color w:val="000000"/>
          <w:spacing w:val="-6"/>
          <w:kern w:val="0"/>
          <w:sz w:val="20"/>
          <w:szCs w:val="20"/>
          <w:lang w:val="en-US" w:eastAsia="zh-CN" w:bidi="ar"/>
        </w:rPr>
        <w:t xml:space="preserve">DNA </w:t>
      </w:r>
      <w:r>
        <w:rPr>
          <w:rFonts w:hint="eastAsia" w:ascii="宋体" w:hAnsi="宋体" w:eastAsia="宋体" w:cs="宋体"/>
          <w:snapToGrid w:val="0"/>
          <w:color w:val="000000"/>
          <w:spacing w:val="-6"/>
          <w:kern w:val="0"/>
          <w:sz w:val="20"/>
          <w:szCs w:val="20"/>
          <w:lang w:val="en-US" w:eastAsia="zh-CN" w:bidi="ar"/>
        </w:rPr>
        <w:t>信息库进行比对，查找犯罪嫌疑人</w:t>
      </w:r>
    </w:p>
    <w:p w14:paraId="4C65CEA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通过对走私案中所缴获的走私物品进行多次鉴定，认定其是否为国外某厂家所生产 </w:t>
      </w:r>
    </w:p>
    <w:p w14:paraId="3802C84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通过对犯罪嫌疑人车上所收缴的各类物品进行检验，判断其是否属于违禁物品 </w:t>
      </w:r>
    </w:p>
    <w:p w14:paraId="1C96EF6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31CD575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95.</w:t>
      </w:r>
      <w:r>
        <w:rPr>
          <w:rFonts w:hint="eastAsia" w:ascii="宋体" w:hAnsi="宋体" w:eastAsia="宋体" w:cs="宋体"/>
          <w:snapToGrid w:val="0"/>
          <w:color w:val="000000"/>
          <w:spacing w:val="-6"/>
          <w:kern w:val="0"/>
          <w:sz w:val="20"/>
          <w:szCs w:val="20"/>
          <w:lang w:val="en-US" w:eastAsia="zh-CN" w:bidi="ar"/>
        </w:rPr>
        <w:t>土地监测是利用遥感、遥测技术，对一个国家或地区土地利用状况的动态变化进行定期或不定期的监视和测定，目的在于为国家和地区有关部门提供准确的土地利用变化情况，及时进行土地利用数据更新与对比分析，以便编制土地利用变化图解等。根据上述定义，下列属于土地监测的是</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02E2263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通过量化多时相遥感图像空间域、时间域、光谱域的耦合特征，获得土地变化的类型、位置和数量 </w:t>
      </w:r>
    </w:p>
    <w:p w14:paraId="43549CC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利用定期现场踏勘的方式标绘各土地使用单位及各类型土地的界线，对变化的地物界线作出修正 </w:t>
      </w:r>
    </w:p>
    <w:p w14:paraId="6BB65C5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通过某地区土地权属变更资料的分析，梳理该地区土地所有权、使用权的变化，以及土地纠纷调解情况 </w:t>
      </w:r>
    </w:p>
    <w:p w14:paraId="10D8494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利用植被具有红光强吸收特点，通过遥感设备监测植被的生长状态，并绘制植被的生长周期图 </w:t>
      </w:r>
    </w:p>
    <w:p w14:paraId="1942902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03CEB3A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96.</w:t>
      </w:r>
      <w:r>
        <w:rPr>
          <w:rFonts w:hint="eastAsia" w:ascii="宋体" w:hAnsi="宋体" w:eastAsia="宋体" w:cs="宋体"/>
          <w:snapToGrid w:val="0"/>
          <w:color w:val="000000"/>
          <w:spacing w:val="-6"/>
          <w:kern w:val="0"/>
          <w:sz w:val="20"/>
          <w:szCs w:val="20"/>
          <w:lang w:val="en-US" w:eastAsia="zh-CN" w:bidi="ar"/>
        </w:rPr>
        <w:t xml:space="preserve">殚精竭虑：费尽心机 </w:t>
      </w:r>
    </w:p>
    <w:p w14:paraId="321AFF4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狐假虎威：虚张声势 </w:t>
      </w:r>
    </w:p>
    <w:p w14:paraId="38F0CE7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舍生忘死：死里逃生 </w:t>
      </w:r>
    </w:p>
    <w:p w14:paraId="35DC8B3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光怪陆离：五光十色 </w:t>
      </w:r>
    </w:p>
    <w:p w14:paraId="321A425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侃侃而谈：喋喋不休 </w:t>
      </w:r>
    </w:p>
    <w:p w14:paraId="571B520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3EFFF58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97.</w:t>
      </w:r>
      <w:r>
        <w:rPr>
          <w:rFonts w:hint="eastAsia" w:ascii="宋体" w:hAnsi="宋体" w:eastAsia="宋体" w:cs="宋体"/>
          <w:snapToGrid w:val="0"/>
          <w:color w:val="000000"/>
          <w:spacing w:val="-6"/>
          <w:kern w:val="0"/>
          <w:sz w:val="20"/>
          <w:szCs w:val="20"/>
          <w:lang w:val="en-US" w:eastAsia="zh-CN" w:bidi="ar"/>
        </w:rPr>
        <w:t xml:space="preserve">嘤其鸣矣：求其友声 </w:t>
      </w:r>
    </w:p>
    <w:p w14:paraId="0F0595E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求之其本：经旬必得 </w:t>
      </w:r>
    </w:p>
    <w:p w14:paraId="005EA2F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遏其生气：以求重价 </w:t>
      </w:r>
    </w:p>
    <w:p w14:paraId="6C8D3AA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道不拾遗：夜不闭户 </w:t>
      </w:r>
    </w:p>
    <w:p w14:paraId="217E76E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避其锐气：击其惰归 </w:t>
      </w:r>
    </w:p>
    <w:p w14:paraId="55A47E9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00E73DD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98.</w:t>
      </w:r>
      <w:r>
        <w:rPr>
          <w:rFonts w:hint="eastAsia" w:ascii="宋体" w:hAnsi="宋体" w:eastAsia="宋体" w:cs="宋体"/>
          <w:snapToGrid w:val="0"/>
          <w:color w:val="000000"/>
          <w:spacing w:val="-6"/>
          <w:kern w:val="0"/>
          <w:sz w:val="20"/>
          <w:szCs w:val="20"/>
          <w:lang w:val="en-US" w:eastAsia="zh-CN" w:bidi="ar"/>
        </w:rPr>
        <w:t>群众来访：窗口接待：调查督办</w:t>
      </w:r>
    </w:p>
    <w:p w14:paraId="214D5E6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地面实验：点火飞行：燃料加注 </w:t>
      </w:r>
    </w:p>
    <w:p w14:paraId="6FD60B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建造堤坝：潮汐发电：送电入户 </w:t>
      </w:r>
    </w:p>
    <w:p w14:paraId="1D12E56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支付本币：兑换外币：确认汇率 </w:t>
      </w:r>
    </w:p>
    <w:p w14:paraId="240B692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重启谈判：临时休战：边境冲突 </w:t>
      </w:r>
    </w:p>
    <w:p w14:paraId="459CDB7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1391813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99.</w:t>
      </w:r>
      <w:r>
        <w:rPr>
          <w:rFonts w:hint="eastAsia" w:ascii="宋体" w:hAnsi="宋体" w:eastAsia="宋体" w:cs="宋体"/>
          <w:snapToGrid w:val="0"/>
          <w:color w:val="000000"/>
          <w:spacing w:val="-6"/>
          <w:kern w:val="0"/>
          <w:sz w:val="20"/>
          <w:szCs w:val="20"/>
          <w:lang w:val="en-US" w:eastAsia="zh-CN" w:bidi="ar"/>
        </w:rPr>
        <w:t xml:space="preserve">收集罪证：提取指纹：透明胶 </w:t>
      </w:r>
    </w:p>
    <w:p w14:paraId="027029D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温度不当：叶子发黄：营养液 </w:t>
      </w:r>
    </w:p>
    <w:p w14:paraId="1418A3A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逃生自救：敲碎车窗：安全锤 </w:t>
      </w:r>
    </w:p>
    <w:p w14:paraId="411CD7A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道路施工：设置防护：混凝土 </w:t>
      </w:r>
    </w:p>
    <w:p w14:paraId="0D0ECA0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冷风侵入：肩周疼痛：艾草贴 </w:t>
      </w:r>
    </w:p>
    <w:p w14:paraId="131D876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00042F6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100.</w:t>
      </w:r>
      <w:r>
        <w:rPr>
          <w:rFonts w:hint="eastAsia" w:ascii="宋体" w:hAnsi="宋体" w:eastAsia="宋体" w:cs="宋体"/>
          <w:snapToGrid w:val="0"/>
          <w:color w:val="000000"/>
          <w:spacing w:val="-6"/>
          <w:kern w:val="0"/>
          <w:sz w:val="20"/>
          <w:szCs w:val="20"/>
          <w:lang w:val="en-US" w:eastAsia="zh-CN" w:bidi="ar"/>
        </w:rPr>
        <w:t xml:space="preserve">行政文书对于（ ）相当于（ ）对于汇编语言 </w:t>
      </w:r>
    </w:p>
    <w:p w14:paraId="428BCDD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行政机关：编程人员 </w:t>
      </w:r>
    </w:p>
    <w:p w14:paraId="410C3D2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行政管理：传递指令 </w:t>
      </w:r>
    </w:p>
    <w:p w14:paraId="3980E51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商务文书：符号语言 </w:t>
      </w:r>
    </w:p>
    <w:p w14:paraId="621A030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监管函：计算机语言 </w:t>
      </w:r>
    </w:p>
    <w:p w14:paraId="3B89033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12A16C3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101.</w:t>
      </w:r>
      <w:r>
        <w:rPr>
          <w:rFonts w:hint="eastAsia" w:ascii="宋体" w:hAnsi="宋体" w:eastAsia="宋体" w:cs="宋体"/>
          <w:snapToGrid w:val="0"/>
          <w:color w:val="000000"/>
          <w:spacing w:val="-6"/>
          <w:kern w:val="0"/>
          <w:sz w:val="20"/>
          <w:szCs w:val="20"/>
          <w:lang w:val="en-US" w:eastAsia="zh-CN" w:bidi="ar"/>
        </w:rPr>
        <w:t>研究者设计了一个“拔河比赛”的实验，要求被试分别在单独和群体的情境下拔河</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同时用仪器来测量他们的拉力。结果发现随着被试人数的增加，平均每个被试使出的力减少了。据此研究者认为，提高团队业绩的最佳途径就是减少团队人数。 </w:t>
      </w:r>
    </w:p>
    <w:p w14:paraId="51EA7A2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以下各项如果为真，除哪项外均能质疑上述研究者的观点</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32EDB7B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团队合作中各取所长很重要，人数过少效率也会随之下降 </w:t>
      </w:r>
    </w:p>
    <w:p w14:paraId="27B564A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团队一起工作时，个人的贡献不被凸显，很容易失去积极性 </w:t>
      </w:r>
    </w:p>
    <w:p w14:paraId="48182FB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团队的合作与管理方式要比拔河复杂得多，不能一概而论 </w:t>
      </w:r>
    </w:p>
    <w:p w14:paraId="73E49D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增强个体对团队的归属感、责任感，能够更好地提高团队业绩 </w:t>
      </w:r>
    </w:p>
    <w:p w14:paraId="260D9A9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5157EF68">
      <w:pPr>
        <w:keepNext w:val="0"/>
        <w:keepLines w:val="0"/>
        <w:widowControl/>
        <w:numPr>
          <w:ilvl w:val="0"/>
          <w:numId w:val="4"/>
        </w:numPr>
        <w:suppressLineNumbers w:val="0"/>
        <w:jc w:val="left"/>
        <w:rPr>
          <w:rFonts w:hint="eastAsia" w:ascii="宋体" w:hAnsi="宋体" w:eastAsia="宋体" w:cs="宋体"/>
          <w:snapToGrid w:val="0"/>
          <w:color w:val="000000"/>
          <w:spacing w:val="-6"/>
          <w:kern w:val="0"/>
          <w:sz w:val="20"/>
          <w:szCs w:val="20"/>
          <w:lang w:val="en-US" w:eastAsia="zh-CN" w:bidi="ar"/>
        </w:rPr>
      </w:pPr>
      <w:r>
        <w:rPr>
          <w:rFonts w:hint="eastAsia" w:ascii="宋体" w:hAnsi="宋体" w:eastAsia="宋体" w:cs="宋体"/>
          <w:snapToGrid w:val="0"/>
          <w:color w:val="000000"/>
          <w:spacing w:val="-6"/>
          <w:kern w:val="0"/>
          <w:sz w:val="20"/>
          <w:szCs w:val="20"/>
          <w:lang w:val="en-US" w:eastAsia="zh-CN" w:bidi="ar"/>
        </w:rPr>
        <w:t>随着通货膨胀的蔓延，</w:t>
      </w:r>
      <w:r>
        <w:rPr>
          <w:rFonts w:hint="default" w:ascii="Times New Roman" w:hAnsi="Times New Roman" w:eastAsia="宋体" w:cs="Times New Roman"/>
          <w:snapToGrid w:val="0"/>
          <w:color w:val="000000"/>
          <w:spacing w:val="-6"/>
          <w:kern w:val="0"/>
          <w:sz w:val="20"/>
          <w:szCs w:val="20"/>
          <w:lang w:val="en-US" w:eastAsia="zh-CN" w:bidi="ar"/>
        </w:rPr>
        <w:t xml:space="preserve">H </w:t>
      </w:r>
      <w:r>
        <w:rPr>
          <w:rFonts w:hint="eastAsia" w:ascii="宋体" w:hAnsi="宋体" w:eastAsia="宋体" w:cs="宋体"/>
          <w:snapToGrid w:val="0"/>
          <w:color w:val="000000"/>
          <w:spacing w:val="-6"/>
          <w:kern w:val="0"/>
          <w:sz w:val="20"/>
          <w:szCs w:val="20"/>
          <w:lang w:val="en-US" w:eastAsia="zh-CN" w:bidi="ar"/>
        </w:rPr>
        <w:t xml:space="preserve">国电子企业主要产品的原材料价格大幅上涨。该国最大的电子企业公报显示，今年该企业智能手机应用处理器价格较上年上涨 </w:t>
      </w:r>
      <w:r>
        <w:rPr>
          <w:rFonts w:hint="default" w:ascii="Times New Roman" w:hAnsi="Times New Roman" w:eastAsia="宋体" w:cs="Times New Roman"/>
          <w:snapToGrid w:val="0"/>
          <w:color w:val="000000"/>
          <w:spacing w:val="-6"/>
          <w:kern w:val="0"/>
          <w:sz w:val="20"/>
          <w:szCs w:val="20"/>
          <w:lang w:val="en-US" w:eastAsia="zh-CN" w:bidi="ar"/>
        </w:rPr>
        <w:t>30%</w:t>
      </w:r>
      <w:r>
        <w:rPr>
          <w:rFonts w:hint="eastAsia" w:ascii="宋体" w:hAnsi="宋体" w:eastAsia="宋体" w:cs="宋体"/>
          <w:snapToGrid w:val="0"/>
          <w:color w:val="000000"/>
          <w:spacing w:val="-6"/>
          <w:kern w:val="0"/>
          <w:sz w:val="20"/>
          <w:szCs w:val="20"/>
          <w:lang w:val="en-US" w:eastAsia="zh-CN" w:bidi="ar"/>
        </w:rPr>
        <w:t xml:space="preserve">，用于智能手机的相机模块价格上涨 </w:t>
      </w:r>
      <w:r>
        <w:rPr>
          <w:rFonts w:hint="default" w:ascii="Times New Roman" w:hAnsi="Times New Roman" w:eastAsia="宋体" w:cs="Times New Roman"/>
          <w:snapToGrid w:val="0"/>
          <w:color w:val="000000"/>
          <w:spacing w:val="-6"/>
          <w:kern w:val="0"/>
          <w:sz w:val="20"/>
          <w:szCs w:val="20"/>
          <w:lang w:val="en-US" w:eastAsia="zh-CN" w:bidi="ar"/>
        </w:rPr>
        <w:t>11%</w:t>
      </w:r>
      <w:r>
        <w:rPr>
          <w:rFonts w:hint="eastAsia" w:ascii="宋体" w:hAnsi="宋体" w:eastAsia="宋体" w:cs="宋体"/>
          <w:snapToGrid w:val="0"/>
          <w:color w:val="000000"/>
          <w:spacing w:val="-6"/>
          <w:kern w:val="0"/>
          <w:sz w:val="20"/>
          <w:szCs w:val="20"/>
          <w:lang w:val="en-US" w:eastAsia="zh-CN" w:bidi="ar"/>
        </w:rPr>
        <w:t xml:space="preserve">，用于电视和显示器的面板价格上涨 </w:t>
      </w:r>
      <w:r>
        <w:rPr>
          <w:rFonts w:hint="default" w:ascii="Times New Roman" w:hAnsi="Times New Roman" w:eastAsia="宋体" w:cs="Times New Roman"/>
          <w:snapToGrid w:val="0"/>
          <w:color w:val="000000"/>
          <w:spacing w:val="-6"/>
          <w:kern w:val="0"/>
          <w:sz w:val="20"/>
          <w:szCs w:val="20"/>
          <w:lang w:val="en-US" w:eastAsia="zh-CN" w:bidi="ar"/>
        </w:rPr>
        <w:t>9%</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H </w:t>
      </w:r>
      <w:r>
        <w:rPr>
          <w:rFonts w:hint="eastAsia" w:ascii="宋体" w:hAnsi="宋体" w:eastAsia="宋体" w:cs="宋体"/>
          <w:snapToGrid w:val="0"/>
          <w:color w:val="000000"/>
          <w:spacing w:val="-6"/>
          <w:kern w:val="0"/>
          <w:sz w:val="20"/>
          <w:szCs w:val="20"/>
          <w:lang w:val="en-US" w:eastAsia="zh-CN" w:bidi="ar"/>
        </w:rPr>
        <w:t>国经济界认为，电子企业原材料价格居高不下，将严重削弱该国电子企业在国际市场上的竞争力。</w:t>
      </w:r>
    </w:p>
    <w:p w14:paraId="293A6E77">
      <w:pPr>
        <w:keepNext w:val="0"/>
        <w:keepLines w:val="0"/>
        <w:widowControl/>
        <w:numPr>
          <w:ilvl w:val="0"/>
          <w:numId w:val="0"/>
        </w:numPr>
        <w:suppressLineNumbers w:val="0"/>
        <w:jc w:val="left"/>
      </w:pPr>
      <w:r>
        <w:rPr>
          <w:rFonts w:hint="eastAsia" w:ascii="宋体" w:hAnsi="宋体" w:eastAsia="宋体" w:cs="宋体"/>
          <w:snapToGrid w:val="0"/>
          <w:color w:val="000000"/>
          <w:spacing w:val="-6"/>
          <w:kern w:val="0"/>
          <w:sz w:val="20"/>
          <w:szCs w:val="20"/>
          <w:lang w:val="en-US" w:eastAsia="zh-CN" w:bidi="ar"/>
        </w:rPr>
        <w:t>以下哪项如果为真，最能支持上述结论</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365DC79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近年来，无论是国际还是国内，硅化合物价格始终呈上涨趋势，这是导致日国电子企业主要产品原材料价格大幅上涨的原因 </w:t>
      </w:r>
    </w:p>
    <w:p w14:paraId="7C79AC3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在日国电子企业主要产品的原材料价格大幅上涨的同时，由于购买力下降等原因，电子产品的全球消费需求在缩减 </w:t>
      </w:r>
    </w:p>
    <w:p w14:paraId="595FF5D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其他国家电子企业都在通过科技创新降低产品原材料价格上涨的影响，以求通过低价在竞争激烈的国际电子产品市场中脱颖而出 </w:t>
      </w:r>
    </w:p>
    <w:p w14:paraId="3D9571D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一直以来，</w:t>
      </w:r>
      <w:r>
        <w:rPr>
          <w:rFonts w:hint="default" w:ascii="Times New Roman" w:hAnsi="Times New Roman" w:eastAsia="宋体" w:cs="Times New Roman"/>
          <w:snapToGrid w:val="0"/>
          <w:color w:val="000000"/>
          <w:spacing w:val="-6"/>
          <w:kern w:val="0"/>
          <w:sz w:val="20"/>
          <w:szCs w:val="20"/>
          <w:lang w:val="en-US" w:eastAsia="zh-CN" w:bidi="ar"/>
        </w:rPr>
        <w:t xml:space="preserve">H </w:t>
      </w:r>
      <w:r>
        <w:rPr>
          <w:rFonts w:hint="eastAsia" w:ascii="宋体" w:hAnsi="宋体" w:eastAsia="宋体" w:cs="宋体"/>
          <w:snapToGrid w:val="0"/>
          <w:color w:val="000000"/>
          <w:spacing w:val="-6"/>
          <w:kern w:val="0"/>
          <w:sz w:val="20"/>
          <w:szCs w:val="20"/>
          <w:lang w:val="en-US" w:eastAsia="zh-CN" w:bidi="ar"/>
        </w:rPr>
        <w:t>国电子企业生产的产品以其卓越的技术和质量优势在国际市场上极具竞争力</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近年来这种竞争优势在逐渐减弱 </w:t>
      </w:r>
    </w:p>
    <w:p w14:paraId="7BE26352">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6A174400">
      <w:pPr>
        <w:keepNext w:val="0"/>
        <w:keepLines w:val="0"/>
        <w:widowControl/>
        <w:numPr>
          <w:ilvl w:val="0"/>
          <w:numId w:val="5"/>
        </w:numPr>
        <w:suppressLineNumbers w:val="0"/>
        <w:jc w:val="left"/>
        <w:rPr>
          <w:rFonts w:hint="eastAsia" w:ascii="宋体" w:hAnsi="宋体" w:eastAsia="宋体" w:cs="宋体"/>
          <w:snapToGrid w:val="0"/>
          <w:color w:val="000000"/>
          <w:spacing w:val="-6"/>
          <w:kern w:val="0"/>
          <w:sz w:val="20"/>
          <w:szCs w:val="20"/>
          <w:lang w:val="en-US" w:eastAsia="zh-CN" w:bidi="ar"/>
        </w:rPr>
      </w:pPr>
      <w:r>
        <w:rPr>
          <w:rFonts w:hint="eastAsia" w:ascii="宋体" w:hAnsi="宋体" w:eastAsia="宋体" w:cs="宋体"/>
          <w:snapToGrid w:val="0"/>
          <w:color w:val="000000"/>
          <w:spacing w:val="-6"/>
          <w:kern w:val="0"/>
          <w:sz w:val="20"/>
          <w:szCs w:val="20"/>
          <w:lang w:val="en-US" w:eastAsia="zh-CN" w:bidi="ar"/>
        </w:rPr>
        <w:t xml:space="preserve">考古人员发现了近 </w:t>
      </w:r>
      <w:r>
        <w:rPr>
          <w:rFonts w:hint="default" w:ascii="Times New Roman" w:hAnsi="Times New Roman" w:eastAsia="宋体" w:cs="Times New Roman"/>
          <w:snapToGrid w:val="0"/>
          <w:color w:val="000000"/>
          <w:spacing w:val="-6"/>
          <w:kern w:val="0"/>
          <w:sz w:val="20"/>
          <w:szCs w:val="20"/>
          <w:lang w:val="en-US" w:eastAsia="zh-CN" w:bidi="ar"/>
        </w:rPr>
        <w:t xml:space="preserve">300 </w:t>
      </w:r>
      <w:r>
        <w:rPr>
          <w:rFonts w:hint="eastAsia" w:ascii="宋体" w:hAnsi="宋体" w:eastAsia="宋体" w:cs="宋体"/>
          <w:snapToGrid w:val="0"/>
          <w:color w:val="000000"/>
          <w:spacing w:val="-6"/>
          <w:kern w:val="0"/>
          <w:sz w:val="20"/>
          <w:szCs w:val="20"/>
          <w:lang w:val="en-US" w:eastAsia="zh-CN" w:bidi="ar"/>
        </w:rPr>
        <w:t xml:space="preserve">枚 </w:t>
      </w:r>
      <w:r>
        <w:rPr>
          <w:rFonts w:hint="default" w:ascii="Times New Roman" w:hAnsi="Times New Roman" w:eastAsia="宋体" w:cs="Times New Roman"/>
          <w:snapToGrid w:val="0"/>
          <w:color w:val="000000"/>
          <w:spacing w:val="-6"/>
          <w:kern w:val="0"/>
          <w:sz w:val="20"/>
          <w:szCs w:val="20"/>
          <w:lang w:val="en-US" w:eastAsia="zh-CN" w:bidi="ar"/>
        </w:rPr>
        <w:t xml:space="preserve">16 </w:t>
      </w:r>
      <w:r>
        <w:rPr>
          <w:rFonts w:hint="eastAsia" w:ascii="宋体" w:hAnsi="宋体" w:eastAsia="宋体" w:cs="宋体"/>
          <w:snapToGrid w:val="0"/>
          <w:color w:val="000000"/>
          <w:spacing w:val="-6"/>
          <w:kern w:val="0"/>
          <w:sz w:val="20"/>
          <w:szCs w:val="20"/>
          <w:lang w:val="en-US" w:eastAsia="zh-CN" w:bidi="ar"/>
        </w:rPr>
        <w:t xml:space="preserve">亿年前的丝状体生物化石，这些丝状体均由巨型细胞组成，直径 </w:t>
      </w:r>
      <w:r>
        <w:rPr>
          <w:rFonts w:hint="default" w:ascii="Times New Roman" w:hAnsi="Times New Roman" w:eastAsia="宋体" w:cs="Times New Roman"/>
          <w:snapToGrid w:val="0"/>
          <w:color w:val="000000"/>
          <w:spacing w:val="-6"/>
          <w:kern w:val="0"/>
          <w:sz w:val="20"/>
          <w:szCs w:val="20"/>
          <w:lang w:val="en-US" w:eastAsia="zh-CN" w:bidi="ar"/>
        </w:rPr>
        <w:t xml:space="preserve">20~194 </w:t>
      </w:r>
      <w:r>
        <w:rPr>
          <w:rFonts w:hint="eastAsia" w:ascii="宋体" w:hAnsi="宋体" w:eastAsia="宋体" w:cs="宋体"/>
          <w:snapToGrid w:val="0"/>
          <w:color w:val="000000"/>
          <w:spacing w:val="-6"/>
          <w:kern w:val="0"/>
          <w:sz w:val="20"/>
          <w:szCs w:val="20"/>
          <w:lang w:val="en-US" w:eastAsia="zh-CN" w:bidi="ar"/>
        </w:rPr>
        <w:t>微米不等。化石中，有些丝状体直径保持不变，细胞呈短柱状至长柱状</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有些丝状体整体向一端均匀收缩，细胞呈柱状、桶状或杯状</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而有的丝状体仅一端变细，形态呈现了一定的复杂性。考古人员据此认为，这些丝状体很可能属于真核生物。</w:t>
      </w:r>
    </w:p>
    <w:p w14:paraId="6C2346B3">
      <w:pPr>
        <w:keepNext w:val="0"/>
        <w:keepLines w:val="0"/>
        <w:widowControl/>
        <w:numPr>
          <w:ilvl w:val="0"/>
          <w:numId w:val="0"/>
        </w:numPr>
        <w:suppressLineNumbers w:val="0"/>
        <w:jc w:val="left"/>
      </w:pPr>
      <w:r>
        <w:rPr>
          <w:rFonts w:hint="eastAsia" w:ascii="宋体" w:hAnsi="宋体" w:eastAsia="宋体" w:cs="宋体"/>
          <w:snapToGrid w:val="0"/>
          <w:color w:val="000000"/>
          <w:spacing w:val="-6"/>
          <w:kern w:val="0"/>
          <w:sz w:val="20"/>
          <w:szCs w:val="20"/>
          <w:lang w:val="en-US" w:eastAsia="zh-CN" w:bidi="ar"/>
        </w:rPr>
        <w:t>以下各项如果为真，除哪项外均能支持上述观点</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0F7CED5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这些化石中被发现有类似于现生繁殖细胞</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孢子一样的圆形结构，这一结构只出现在真核生物中 </w:t>
      </w:r>
    </w:p>
    <w:p w14:paraId="7F4D9A9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原核生物细胞的直径一般小于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微米，而真核生物细胞的直径一般在 </w:t>
      </w:r>
      <w:r>
        <w:rPr>
          <w:rFonts w:hint="default" w:ascii="Times New Roman" w:hAnsi="Times New Roman" w:eastAsia="宋体" w:cs="Times New Roman"/>
          <w:snapToGrid w:val="0"/>
          <w:color w:val="000000"/>
          <w:spacing w:val="-6"/>
          <w:kern w:val="0"/>
          <w:sz w:val="20"/>
          <w:szCs w:val="20"/>
          <w:lang w:val="en-US" w:eastAsia="zh-CN" w:bidi="ar"/>
        </w:rPr>
        <w:t xml:space="preserve">10~100 </w:t>
      </w:r>
      <w:r>
        <w:rPr>
          <w:rFonts w:hint="eastAsia" w:ascii="宋体" w:hAnsi="宋体" w:eastAsia="宋体" w:cs="宋体"/>
          <w:snapToGrid w:val="0"/>
          <w:color w:val="000000"/>
          <w:spacing w:val="-6"/>
          <w:kern w:val="0"/>
          <w:sz w:val="20"/>
          <w:szCs w:val="20"/>
          <w:lang w:val="en-US" w:eastAsia="zh-CN" w:bidi="ar"/>
        </w:rPr>
        <w:t xml:space="preserve">微米之间 </w:t>
      </w:r>
    </w:p>
    <w:p w14:paraId="082689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在目前已知的原核生物中，大多数的丝状体形态都比较简单，只有个别呈现出过渡期形态 </w:t>
      </w:r>
    </w:p>
    <w:p w14:paraId="4B1156C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经比对，该化石中丝状体与一些现生绿藻</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一种真核生物</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的藻丝体形态、细胞大小分布和繁殖方式等最为接近 </w:t>
      </w:r>
    </w:p>
    <w:p w14:paraId="6D2BD8CE">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2F8A4CE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104.</w:t>
      </w:r>
      <w:r>
        <w:rPr>
          <w:rFonts w:hint="eastAsia" w:ascii="宋体" w:hAnsi="宋体" w:eastAsia="宋体" w:cs="宋体"/>
          <w:snapToGrid w:val="0"/>
          <w:color w:val="000000"/>
          <w:spacing w:val="-6"/>
          <w:kern w:val="0"/>
          <w:sz w:val="20"/>
          <w:szCs w:val="20"/>
          <w:lang w:val="en-US" w:eastAsia="zh-CN" w:bidi="ar"/>
        </w:rPr>
        <w:t xml:space="preserve">某项研究显示，与未接触空气污染的人相比，暴露于空气污染中的人死于乳腺癌的风险增加了 </w:t>
      </w:r>
      <w:r>
        <w:rPr>
          <w:rFonts w:hint="default" w:ascii="Times New Roman" w:hAnsi="Times New Roman" w:eastAsia="宋体" w:cs="Times New Roman"/>
          <w:snapToGrid w:val="0"/>
          <w:color w:val="000000"/>
          <w:spacing w:val="-6"/>
          <w:kern w:val="0"/>
          <w:sz w:val="20"/>
          <w:szCs w:val="20"/>
          <w:lang w:val="en-US" w:eastAsia="zh-CN" w:bidi="ar"/>
        </w:rPr>
        <w:t>80%,</w:t>
      </w:r>
      <w:r>
        <w:rPr>
          <w:rFonts w:hint="eastAsia" w:ascii="宋体" w:hAnsi="宋体" w:eastAsia="宋体" w:cs="宋体"/>
          <w:snapToGrid w:val="0"/>
          <w:color w:val="000000"/>
          <w:spacing w:val="-6"/>
          <w:kern w:val="0"/>
          <w:sz w:val="20"/>
          <w:szCs w:val="20"/>
          <w:lang w:val="en-US" w:eastAsia="zh-CN" w:bidi="ar"/>
        </w:rPr>
        <w:t xml:space="preserve">死于其他各类癌症的风险增加了 </w:t>
      </w:r>
      <w:r>
        <w:rPr>
          <w:rFonts w:hint="default" w:ascii="Times New Roman" w:hAnsi="Times New Roman" w:eastAsia="宋体" w:cs="Times New Roman"/>
          <w:snapToGrid w:val="0"/>
          <w:color w:val="000000"/>
          <w:spacing w:val="-6"/>
          <w:kern w:val="0"/>
          <w:sz w:val="20"/>
          <w:szCs w:val="20"/>
          <w:lang w:val="en-US" w:eastAsia="zh-CN" w:bidi="ar"/>
        </w:rPr>
        <w:t>22%</w:t>
      </w:r>
      <w:r>
        <w:rPr>
          <w:rFonts w:hint="eastAsia" w:ascii="宋体" w:hAnsi="宋体" w:eastAsia="宋体" w:cs="宋体"/>
          <w:snapToGrid w:val="0"/>
          <w:color w:val="000000"/>
          <w:spacing w:val="-6"/>
          <w:kern w:val="0"/>
          <w:sz w:val="20"/>
          <w:szCs w:val="20"/>
          <w:lang w:val="en-US" w:eastAsia="zh-CN" w:bidi="ar"/>
        </w:rPr>
        <w:t>。该研究团队由此认为</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这可能与空气污染物中的 </w:t>
      </w:r>
      <w:r>
        <w:rPr>
          <w:rFonts w:hint="default" w:ascii="Times New Roman" w:hAnsi="Times New Roman" w:eastAsia="宋体" w:cs="Times New Roman"/>
          <w:snapToGrid w:val="0"/>
          <w:color w:val="000000"/>
          <w:spacing w:val="-6"/>
          <w:kern w:val="0"/>
          <w:sz w:val="20"/>
          <w:szCs w:val="20"/>
          <w:lang w:val="en-US" w:eastAsia="zh-CN" w:bidi="ar"/>
        </w:rPr>
        <w:t xml:space="preserve">PM2.5 </w:t>
      </w:r>
      <w:r>
        <w:rPr>
          <w:rFonts w:hint="eastAsia" w:ascii="宋体" w:hAnsi="宋体" w:eastAsia="宋体" w:cs="宋体"/>
          <w:snapToGrid w:val="0"/>
          <w:color w:val="000000"/>
          <w:spacing w:val="-6"/>
          <w:kern w:val="0"/>
          <w:sz w:val="20"/>
          <w:szCs w:val="20"/>
          <w:lang w:val="en-US" w:eastAsia="zh-CN" w:bidi="ar"/>
        </w:rPr>
        <w:t xml:space="preserve">有关，因为 </w:t>
      </w:r>
      <w:r>
        <w:rPr>
          <w:rFonts w:hint="default" w:ascii="Times New Roman" w:hAnsi="Times New Roman" w:eastAsia="宋体" w:cs="Times New Roman"/>
          <w:snapToGrid w:val="0"/>
          <w:color w:val="000000"/>
          <w:spacing w:val="-6"/>
          <w:kern w:val="0"/>
          <w:sz w:val="20"/>
          <w:szCs w:val="20"/>
          <w:lang w:val="en-US" w:eastAsia="zh-CN" w:bidi="ar"/>
        </w:rPr>
        <w:t xml:space="preserve">PM2.5 </w:t>
      </w:r>
      <w:r>
        <w:rPr>
          <w:rFonts w:hint="eastAsia" w:ascii="宋体" w:hAnsi="宋体" w:eastAsia="宋体" w:cs="宋体"/>
          <w:snapToGrid w:val="0"/>
          <w:color w:val="000000"/>
          <w:spacing w:val="-6"/>
          <w:kern w:val="0"/>
          <w:sz w:val="20"/>
          <w:szCs w:val="20"/>
          <w:lang w:val="en-US" w:eastAsia="zh-CN" w:bidi="ar"/>
        </w:rPr>
        <w:t xml:space="preserve">会导致脏器的炎症和氧化应激反应。 </w:t>
      </w:r>
    </w:p>
    <w:p w14:paraId="11BCA34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以下哪项如果为真，最可能是上述专家预设的前提</w:t>
      </w:r>
      <w:r>
        <w:rPr>
          <w:rFonts w:hint="default" w:ascii="Times New Roman" w:hAnsi="Times New Roman" w:eastAsia="宋体" w:cs="Times New Roman"/>
          <w:snapToGrid w:val="0"/>
          <w:color w:val="000000"/>
          <w:spacing w:val="-6"/>
          <w:kern w:val="0"/>
          <w:sz w:val="20"/>
          <w:szCs w:val="20"/>
          <w:lang w:val="en-US" w:eastAsia="zh-CN" w:bidi="ar"/>
        </w:rPr>
        <w:t>?</w:t>
      </w:r>
    </w:p>
    <w:p w14:paraId="2A9F05E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脏器的炎症和氧化应激反应是明确的致癌危险因素 </w:t>
      </w:r>
    </w:p>
    <w:p w14:paraId="3486CA0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B.PM25 </w:t>
      </w:r>
      <w:r>
        <w:rPr>
          <w:rFonts w:hint="eastAsia" w:ascii="宋体" w:hAnsi="宋体" w:eastAsia="宋体" w:cs="宋体"/>
          <w:snapToGrid w:val="0"/>
          <w:color w:val="000000"/>
          <w:spacing w:val="-6"/>
          <w:kern w:val="0"/>
          <w:sz w:val="20"/>
          <w:szCs w:val="20"/>
          <w:lang w:val="en-US" w:eastAsia="zh-CN" w:bidi="ar"/>
        </w:rPr>
        <w:t xml:space="preserve">在大气成分中含量较少，但对空气质量有重要影响 </w:t>
      </w:r>
    </w:p>
    <w:p w14:paraId="2FD2DCC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吸食香烟和电子烟等都可以将 </w:t>
      </w:r>
      <w:r>
        <w:rPr>
          <w:rFonts w:hint="default" w:ascii="Times New Roman" w:hAnsi="Times New Roman" w:eastAsia="宋体" w:cs="Times New Roman"/>
          <w:snapToGrid w:val="0"/>
          <w:color w:val="000000"/>
          <w:spacing w:val="-6"/>
          <w:kern w:val="0"/>
          <w:sz w:val="20"/>
          <w:szCs w:val="20"/>
          <w:lang w:val="en-US" w:eastAsia="zh-CN" w:bidi="ar"/>
        </w:rPr>
        <w:t xml:space="preserve">PM2.5 </w:t>
      </w:r>
      <w:r>
        <w:rPr>
          <w:rFonts w:hint="eastAsia" w:ascii="宋体" w:hAnsi="宋体" w:eastAsia="宋体" w:cs="宋体"/>
          <w:snapToGrid w:val="0"/>
          <w:color w:val="000000"/>
          <w:spacing w:val="-6"/>
          <w:kern w:val="0"/>
          <w:sz w:val="20"/>
          <w:szCs w:val="20"/>
          <w:lang w:val="en-US" w:eastAsia="zh-CN" w:bidi="ar"/>
        </w:rPr>
        <w:t xml:space="preserve">直接输送到肺部 </w:t>
      </w:r>
    </w:p>
    <w:p w14:paraId="2585994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女性更易接触烹饪油烟，其中含有大量的 </w:t>
      </w:r>
      <w:r>
        <w:rPr>
          <w:rFonts w:hint="default" w:ascii="Times New Roman" w:hAnsi="Times New Roman" w:eastAsia="宋体" w:cs="Times New Roman"/>
          <w:snapToGrid w:val="0"/>
          <w:color w:val="000000"/>
          <w:spacing w:val="-6"/>
          <w:kern w:val="0"/>
          <w:sz w:val="20"/>
          <w:szCs w:val="20"/>
          <w:lang w:val="en-US" w:eastAsia="zh-CN" w:bidi="ar"/>
        </w:rPr>
        <w:t xml:space="preserve">PM2.5 </w:t>
      </w:r>
    </w:p>
    <w:p w14:paraId="187FD6B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4C224B1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105.</w:t>
      </w:r>
      <w:r>
        <w:rPr>
          <w:rFonts w:hint="eastAsia" w:ascii="宋体" w:hAnsi="宋体" w:eastAsia="宋体" w:cs="宋体"/>
          <w:snapToGrid w:val="0"/>
          <w:color w:val="000000"/>
          <w:spacing w:val="-6"/>
          <w:kern w:val="0"/>
          <w:sz w:val="20"/>
          <w:szCs w:val="20"/>
          <w:lang w:val="en-US" w:eastAsia="zh-CN" w:bidi="ar"/>
        </w:rPr>
        <w:t xml:space="preserve">某桃园 </w:t>
      </w:r>
      <w:r>
        <w:rPr>
          <w:rFonts w:hint="default" w:ascii="Times New Roman" w:hAnsi="Times New Roman" w:eastAsia="宋体" w:cs="Times New Roman"/>
          <w:snapToGrid w:val="0"/>
          <w:color w:val="000000"/>
          <w:spacing w:val="-6"/>
          <w:kern w:val="0"/>
          <w:sz w:val="20"/>
          <w:szCs w:val="20"/>
          <w:lang w:val="en-US" w:eastAsia="zh-CN" w:bidi="ar"/>
        </w:rPr>
        <w:t xml:space="preserve">5 </w:t>
      </w:r>
      <w:r>
        <w:rPr>
          <w:rFonts w:hint="eastAsia" w:ascii="宋体" w:hAnsi="宋体" w:eastAsia="宋体" w:cs="宋体"/>
          <w:snapToGrid w:val="0"/>
          <w:color w:val="000000"/>
          <w:spacing w:val="-6"/>
          <w:kern w:val="0"/>
          <w:sz w:val="20"/>
          <w:szCs w:val="20"/>
          <w:lang w:val="en-US" w:eastAsia="zh-CN" w:bidi="ar"/>
        </w:rPr>
        <w:t>月份对其种植的蟠桃进行套袋。</w:t>
      </w:r>
      <w:r>
        <w:rPr>
          <w:rFonts w:hint="default" w:ascii="Times New Roman" w:hAnsi="Times New Roman" w:eastAsia="宋体" w:cs="Times New Roman"/>
          <w:snapToGrid w:val="0"/>
          <w:color w:val="000000"/>
          <w:spacing w:val="-6"/>
          <w:kern w:val="0"/>
          <w:sz w:val="20"/>
          <w:szCs w:val="20"/>
          <w:lang w:val="en-US" w:eastAsia="zh-CN" w:bidi="ar"/>
        </w:rPr>
        <w:t xml:space="preserve">6 </w:t>
      </w:r>
      <w:r>
        <w:rPr>
          <w:rFonts w:hint="eastAsia" w:ascii="宋体" w:hAnsi="宋体" w:eastAsia="宋体" w:cs="宋体"/>
          <w:snapToGrid w:val="0"/>
          <w:color w:val="000000"/>
          <w:spacing w:val="-6"/>
          <w:kern w:val="0"/>
          <w:sz w:val="20"/>
          <w:szCs w:val="20"/>
          <w:lang w:val="en-US" w:eastAsia="zh-CN" w:bidi="ar"/>
        </w:rPr>
        <w:t>月份，桃果出现异常，</w:t>
      </w:r>
      <w:r>
        <w:rPr>
          <w:rFonts w:hint="default" w:ascii="Times New Roman" w:hAnsi="Times New Roman" w:eastAsia="宋体" w:cs="Times New Roman"/>
          <w:snapToGrid w:val="0"/>
          <w:color w:val="000000"/>
          <w:spacing w:val="-6"/>
          <w:kern w:val="0"/>
          <w:sz w:val="20"/>
          <w:szCs w:val="20"/>
          <w:lang w:val="en-US" w:eastAsia="zh-CN" w:bidi="ar"/>
        </w:rPr>
        <w:t xml:space="preserve">50 </w:t>
      </w:r>
      <w:r>
        <w:rPr>
          <w:rFonts w:hint="eastAsia" w:ascii="宋体" w:hAnsi="宋体" w:eastAsia="宋体" w:cs="宋体"/>
          <w:snapToGrid w:val="0"/>
          <w:color w:val="000000"/>
          <w:spacing w:val="-6"/>
          <w:kern w:val="0"/>
          <w:sz w:val="20"/>
          <w:szCs w:val="20"/>
          <w:lang w:val="en-US" w:eastAsia="zh-CN" w:bidi="ar"/>
        </w:rPr>
        <w:t>克左右的大果很少；</w:t>
      </w:r>
      <w:r>
        <w:rPr>
          <w:rFonts w:hint="default" w:ascii="Times New Roman" w:hAnsi="Times New Roman" w:eastAsia="宋体" w:cs="Times New Roman"/>
          <w:snapToGrid w:val="0"/>
          <w:color w:val="000000"/>
          <w:spacing w:val="-6"/>
          <w:kern w:val="0"/>
          <w:sz w:val="20"/>
          <w:szCs w:val="20"/>
          <w:lang w:val="en-US" w:eastAsia="zh-CN" w:bidi="ar"/>
        </w:rPr>
        <w:t xml:space="preserve">10 </w:t>
      </w:r>
      <w:r>
        <w:rPr>
          <w:rFonts w:hint="eastAsia" w:ascii="宋体" w:hAnsi="宋体" w:eastAsia="宋体" w:cs="宋体"/>
          <w:snapToGrid w:val="0"/>
          <w:color w:val="000000"/>
          <w:spacing w:val="-6"/>
          <w:kern w:val="0"/>
          <w:sz w:val="20"/>
          <w:szCs w:val="20"/>
          <w:lang w:val="en-US" w:eastAsia="zh-CN" w:bidi="ar"/>
        </w:rPr>
        <w:t xml:space="preserve">余克的小果特别多，约占 </w:t>
      </w:r>
      <w:r>
        <w:rPr>
          <w:rFonts w:hint="default" w:ascii="Times New Roman" w:hAnsi="Times New Roman" w:eastAsia="宋体" w:cs="Times New Roman"/>
          <w:snapToGrid w:val="0"/>
          <w:color w:val="000000"/>
          <w:spacing w:val="-6"/>
          <w:kern w:val="0"/>
          <w:sz w:val="20"/>
          <w:szCs w:val="20"/>
          <w:lang w:val="en-US" w:eastAsia="zh-CN" w:bidi="ar"/>
        </w:rPr>
        <w:t>75%</w:t>
      </w:r>
      <w:r>
        <w:rPr>
          <w:rFonts w:hint="eastAsia" w:ascii="宋体" w:hAnsi="宋体" w:eastAsia="宋体" w:cs="宋体"/>
          <w:snapToGrid w:val="0"/>
          <w:color w:val="000000"/>
          <w:spacing w:val="-6"/>
          <w:kern w:val="0"/>
          <w:sz w:val="20"/>
          <w:szCs w:val="20"/>
          <w:lang w:val="en-US" w:eastAsia="zh-CN" w:bidi="ar"/>
        </w:rPr>
        <w:t xml:space="preserve">，正常情况下，此时果实应重 </w:t>
      </w:r>
      <w:r>
        <w:rPr>
          <w:rFonts w:hint="default" w:ascii="Times New Roman" w:hAnsi="Times New Roman" w:eastAsia="宋体" w:cs="Times New Roman"/>
          <w:snapToGrid w:val="0"/>
          <w:color w:val="000000"/>
          <w:spacing w:val="-6"/>
          <w:kern w:val="0"/>
          <w:sz w:val="20"/>
          <w:szCs w:val="20"/>
          <w:lang w:val="en-US" w:eastAsia="zh-CN" w:bidi="ar"/>
        </w:rPr>
        <w:t xml:space="preserve">50 </w:t>
      </w:r>
      <w:r>
        <w:rPr>
          <w:rFonts w:hint="eastAsia" w:ascii="宋体" w:hAnsi="宋体" w:eastAsia="宋体" w:cs="宋体"/>
          <w:snapToGrid w:val="0"/>
          <w:color w:val="000000"/>
          <w:spacing w:val="-6"/>
          <w:kern w:val="0"/>
          <w:sz w:val="20"/>
          <w:szCs w:val="20"/>
          <w:lang w:val="en-US" w:eastAsia="zh-CN" w:bidi="ar"/>
        </w:rPr>
        <w:t xml:space="preserve">克左右。有人推测，今年出现小果占比过大是由于套袋较早造成的，因为过早套袋会使果实失去营养竞争力，在营养供应不足的情况下，果实竞争不过新梢。 </w:t>
      </w:r>
    </w:p>
    <w:p w14:paraId="0B43C65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以下哪项如果为真，最能削弱上述推测？ </w:t>
      </w:r>
    </w:p>
    <w:p w14:paraId="2589403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今年套果袋时果实大小基本一致，并且期间无病虫危害 </w:t>
      </w:r>
    </w:p>
    <w:p w14:paraId="3E8AF3D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今年在没有分出大小果时就完成了疏除冗余幼果的操作，留下的不一定是优质大果 </w:t>
      </w:r>
    </w:p>
    <w:p w14:paraId="11A403B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纸袋的遮光作用影响果实光合能力，进而影响其甜度 </w:t>
      </w:r>
    </w:p>
    <w:p w14:paraId="7B44F15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今年桃树长得太快，加之萌芽肥、花后肥都没有追施，导致后期果实营养供应不 </w:t>
      </w:r>
    </w:p>
    <w:p w14:paraId="2886F5C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足 </w:t>
      </w:r>
    </w:p>
    <w:p w14:paraId="1B9B68D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2119DA2D">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根据所给材料，回答 </w:t>
      </w:r>
      <w:r>
        <w:rPr>
          <w:rFonts w:hint="default" w:ascii="Times New Roman" w:hAnsi="Times New Roman" w:eastAsia="宋体" w:cs="Times New Roman"/>
          <w:b/>
          <w:bCs/>
          <w:snapToGrid w:val="0"/>
          <w:color w:val="000000"/>
          <w:spacing w:val="-6"/>
          <w:kern w:val="0"/>
          <w:sz w:val="20"/>
          <w:szCs w:val="20"/>
          <w:lang w:val="en-US" w:eastAsia="zh-CN" w:bidi="ar"/>
        </w:rPr>
        <w:t xml:space="preserve">106-110 </w:t>
      </w:r>
      <w:r>
        <w:rPr>
          <w:rFonts w:hint="eastAsia" w:ascii="宋体" w:hAnsi="宋体" w:eastAsia="宋体" w:cs="宋体"/>
          <w:b/>
          <w:bCs/>
          <w:snapToGrid w:val="0"/>
          <w:color w:val="000000"/>
          <w:spacing w:val="-6"/>
          <w:kern w:val="0"/>
          <w:sz w:val="20"/>
          <w:szCs w:val="20"/>
          <w:lang w:val="en-US" w:eastAsia="zh-CN" w:bidi="ar"/>
        </w:rPr>
        <w:t xml:space="preserve">题。 </w:t>
      </w:r>
    </w:p>
    <w:p w14:paraId="3229DDF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某科研机构今年拟举办甲、乙、丙、丁、戊、己、庚、辛 </w:t>
      </w:r>
      <w:r>
        <w:rPr>
          <w:rFonts w:hint="default" w:ascii="Times New Roman" w:hAnsi="Times New Roman" w:eastAsia="宋体" w:cs="Times New Roman"/>
          <w:snapToGrid w:val="0"/>
          <w:color w:val="000000"/>
          <w:spacing w:val="-6"/>
          <w:kern w:val="0"/>
          <w:sz w:val="20"/>
          <w:szCs w:val="20"/>
          <w:lang w:val="en-US" w:eastAsia="zh-CN" w:bidi="ar"/>
        </w:rPr>
        <w:t xml:space="preserve">8 </w:t>
      </w:r>
      <w:r>
        <w:rPr>
          <w:rFonts w:hint="eastAsia" w:ascii="宋体" w:hAnsi="宋体" w:eastAsia="宋体" w:cs="宋体"/>
          <w:snapToGrid w:val="0"/>
          <w:color w:val="000000"/>
          <w:spacing w:val="-6"/>
          <w:kern w:val="0"/>
          <w:sz w:val="20"/>
          <w:szCs w:val="20"/>
          <w:lang w:val="en-US" w:eastAsia="zh-CN" w:bidi="ar"/>
        </w:rPr>
        <w:t xml:space="preserve">次学术会议，每个季度最多举办 </w:t>
      </w:r>
      <w:r>
        <w:rPr>
          <w:rFonts w:hint="default" w:ascii="Times New Roman" w:hAnsi="Times New Roman" w:eastAsia="宋体" w:cs="Times New Roman"/>
          <w:snapToGrid w:val="0"/>
          <w:color w:val="000000"/>
          <w:spacing w:val="-6"/>
          <w:kern w:val="0"/>
          <w:sz w:val="20"/>
          <w:szCs w:val="20"/>
          <w:lang w:val="en-US" w:eastAsia="zh-CN" w:bidi="ar"/>
        </w:rPr>
        <w:t xml:space="preserve">3 </w:t>
      </w:r>
      <w:r>
        <w:rPr>
          <w:rFonts w:hint="eastAsia" w:ascii="宋体" w:hAnsi="宋体" w:eastAsia="宋体" w:cs="宋体"/>
          <w:snapToGrid w:val="0"/>
          <w:color w:val="000000"/>
          <w:spacing w:val="-6"/>
          <w:kern w:val="0"/>
          <w:sz w:val="20"/>
          <w:szCs w:val="20"/>
          <w:lang w:val="en-US" w:eastAsia="zh-CN" w:bidi="ar"/>
        </w:rPr>
        <w:t xml:space="preserve">次，且各次会议时间不重叠，具体安排要求如下： </w:t>
      </w:r>
    </w:p>
    <w:p w14:paraId="67A4842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1</w:t>
      </w:r>
      <w:r>
        <w:rPr>
          <w:rFonts w:hint="eastAsia" w:ascii="宋体" w:hAnsi="宋体" w:eastAsia="宋体" w:cs="宋体"/>
          <w:snapToGrid w:val="0"/>
          <w:color w:val="000000"/>
          <w:spacing w:val="-6"/>
          <w:kern w:val="0"/>
          <w:sz w:val="20"/>
          <w:szCs w:val="20"/>
          <w:lang w:val="en-US" w:eastAsia="zh-CN" w:bidi="ar"/>
        </w:rPr>
        <w:t xml:space="preserve">）丁、辛安排在第二季度； </w:t>
      </w:r>
    </w:p>
    <w:p w14:paraId="0737811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2</w:t>
      </w:r>
      <w:r>
        <w:rPr>
          <w:rFonts w:hint="eastAsia" w:ascii="宋体" w:hAnsi="宋体" w:eastAsia="宋体" w:cs="宋体"/>
          <w:snapToGrid w:val="0"/>
          <w:color w:val="000000"/>
          <w:spacing w:val="-6"/>
          <w:kern w:val="0"/>
          <w:sz w:val="20"/>
          <w:szCs w:val="20"/>
          <w:lang w:val="en-US" w:eastAsia="zh-CN" w:bidi="ar"/>
        </w:rPr>
        <w:t xml:space="preserve">）甲、戊安排在同一个季度； </w:t>
      </w:r>
    </w:p>
    <w:p w14:paraId="5900EDB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3</w:t>
      </w:r>
      <w:r>
        <w:rPr>
          <w:rFonts w:hint="eastAsia" w:ascii="宋体" w:hAnsi="宋体" w:eastAsia="宋体" w:cs="宋体"/>
          <w:snapToGrid w:val="0"/>
          <w:color w:val="000000"/>
          <w:spacing w:val="-6"/>
          <w:kern w:val="0"/>
          <w:sz w:val="20"/>
          <w:szCs w:val="20"/>
          <w:lang w:val="en-US" w:eastAsia="zh-CN" w:bidi="ar"/>
        </w:rPr>
        <w:t xml:space="preserve">）丁在乙之后丙之前举办； </w:t>
      </w:r>
    </w:p>
    <w:p w14:paraId="1B18EEC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4</w:t>
      </w:r>
      <w:r>
        <w:rPr>
          <w:rFonts w:hint="eastAsia" w:ascii="宋体" w:hAnsi="宋体" w:eastAsia="宋体" w:cs="宋体"/>
          <w:snapToGrid w:val="0"/>
          <w:color w:val="000000"/>
          <w:spacing w:val="-6"/>
          <w:kern w:val="0"/>
          <w:sz w:val="20"/>
          <w:szCs w:val="20"/>
          <w:lang w:val="en-US" w:eastAsia="zh-CN" w:bidi="ar"/>
        </w:rPr>
        <w:t xml:space="preserve">）丙在甲之前己之后举办。 </w:t>
      </w:r>
    </w:p>
    <w:p w14:paraId="36C6136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106.</w:t>
      </w:r>
      <w:r>
        <w:rPr>
          <w:rFonts w:hint="eastAsia" w:ascii="宋体" w:hAnsi="宋体" w:eastAsia="宋体" w:cs="宋体"/>
          <w:snapToGrid w:val="0"/>
          <w:color w:val="000000"/>
          <w:spacing w:val="-6"/>
          <w:kern w:val="0"/>
          <w:sz w:val="20"/>
          <w:szCs w:val="20"/>
          <w:lang w:val="en-US" w:eastAsia="zh-CN" w:bidi="ar"/>
        </w:rPr>
        <w:t xml:space="preserve">如果第二季度只安排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次会议，那么以下哪次会议一定安排在第一季度？ </w:t>
      </w:r>
    </w:p>
    <w:p w14:paraId="15BD677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丙 </w:t>
      </w:r>
    </w:p>
    <w:p w14:paraId="39CF650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庚 </w:t>
      </w:r>
    </w:p>
    <w:p w14:paraId="729FA35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乙 </w:t>
      </w:r>
    </w:p>
    <w:p w14:paraId="194E5D9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甲 </w:t>
      </w:r>
    </w:p>
    <w:p w14:paraId="2F449EA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C</w:t>
      </w:r>
    </w:p>
    <w:p w14:paraId="6789B26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107.</w:t>
      </w:r>
      <w:r>
        <w:rPr>
          <w:rFonts w:hint="eastAsia" w:ascii="宋体" w:hAnsi="宋体" w:eastAsia="宋体" w:cs="宋体"/>
          <w:snapToGrid w:val="0"/>
          <w:color w:val="000000"/>
          <w:spacing w:val="-6"/>
          <w:kern w:val="0"/>
          <w:sz w:val="20"/>
          <w:szCs w:val="20"/>
          <w:lang w:val="en-US" w:eastAsia="zh-CN" w:bidi="ar"/>
        </w:rPr>
        <w:t xml:space="preserve">下列哪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次会议可以安排在第一季度？ </w:t>
      </w:r>
    </w:p>
    <w:p w14:paraId="0FF1CC9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甲和戊 </w:t>
      </w:r>
    </w:p>
    <w:p w14:paraId="2B0B599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丙和丁 </w:t>
      </w:r>
    </w:p>
    <w:p w14:paraId="2AB2DAF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丁和己 </w:t>
      </w:r>
    </w:p>
    <w:p w14:paraId="416ED30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己和庚 </w:t>
      </w:r>
    </w:p>
    <w:p w14:paraId="2687242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6599538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108.</w:t>
      </w:r>
      <w:r>
        <w:rPr>
          <w:rFonts w:hint="eastAsia" w:ascii="宋体" w:hAnsi="宋体" w:eastAsia="宋体" w:cs="宋体"/>
          <w:snapToGrid w:val="0"/>
          <w:color w:val="000000"/>
          <w:spacing w:val="-6"/>
          <w:kern w:val="0"/>
          <w:sz w:val="20"/>
          <w:szCs w:val="20"/>
          <w:lang w:val="en-US" w:eastAsia="zh-CN" w:bidi="ar"/>
        </w:rPr>
        <w:t xml:space="preserve">如果每个季度至少安排 </w:t>
      </w:r>
      <w:r>
        <w:rPr>
          <w:rFonts w:hint="default" w:ascii="Times New Roman" w:hAnsi="Times New Roman" w:eastAsia="宋体" w:cs="Times New Roman"/>
          <w:snapToGrid w:val="0"/>
          <w:color w:val="000000"/>
          <w:spacing w:val="-6"/>
          <w:kern w:val="0"/>
          <w:sz w:val="20"/>
          <w:szCs w:val="20"/>
          <w:lang w:val="en-US" w:eastAsia="zh-CN" w:bidi="ar"/>
        </w:rPr>
        <w:t xml:space="preserve">1 </w:t>
      </w:r>
      <w:r>
        <w:rPr>
          <w:rFonts w:hint="eastAsia" w:ascii="宋体" w:hAnsi="宋体" w:eastAsia="宋体" w:cs="宋体"/>
          <w:snapToGrid w:val="0"/>
          <w:color w:val="000000"/>
          <w:spacing w:val="-6"/>
          <w:kern w:val="0"/>
          <w:sz w:val="20"/>
          <w:szCs w:val="20"/>
          <w:lang w:val="en-US" w:eastAsia="zh-CN" w:bidi="ar"/>
        </w:rPr>
        <w:t xml:space="preserve">次会议，并且最后一个季度仅安排 </w:t>
      </w:r>
      <w:r>
        <w:rPr>
          <w:rFonts w:hint="default" w:ascii="Times New Roman" w:hAnsi="Times New Roman" w:eastAsia="宋体" w:cs="Times New Roman"/>
          <w:snapToGrid w:val="0"/>
          <w:color w:val="000000"/>
          <w:spacing w:val="-6"/>
          <w:kern w:val="0"/>
          <w:sz w:val="20"/>
          <w:szCs w:val="20"/>
          <w:lang w:val="en-US" w:eastAsia="zh-CN" w:bidi="ar"/>
        </w:rPr>
        <w:t xml:space="preserve">1 </w:t>
      </w:r>
      <w:r>
        <w:rPr>
          <w:rFonts w:hint="eastAsia" w:ascii="宋体" w:hAnsi="宋体" w:eastAsia="宋体" w:cs="宋体"/>
          <w:snapToGrid w:val="0"/>
          <w:color w:val="000000"/>
          <w:spacing w:val="-6"/>
          <w:kern w:val="0"/>
          <w:sz w:val="20"/>
          <w:szCs w:val="20"/>
          <w:lang w:val="en-US" w:eastAsia="zh-CN" w:bidi="ar"/>
        </w:rPr>
        <w:t xml:space="preserve">次会议，下列哪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次 </w:t>
      </w:r>
    </w:p>
    <w:p w14:paraId="32780D9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会议一定安排在第三季度？ </w:t>
      </w:r>
    </w:p>
    <w:p w14:paraId="73B862F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丙和己 </w:t>
      </w:r>
    </w:p>
    <w:p w14:paraId="7C28EFC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已和庚 </w:t>
      </w:r>
    </w:p>
    <w:p w14:paraId="6512910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甲和戊 </w:t>
      </w:r>
    </w:p>
    <w:p w14:paraId="5160A6D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乙和丙 </w:t>
      </w:r>
    </w:p>
    <w:p w14:paraId="17BA59D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45404E2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109.</w:t>
      </w:r>
      <w:r>
        <w:rPr>
          <w:rFonts w:hint="eastAsia" w:ascii="宋体" w:hAnsi="宋体" w:eastAsia="宋体" w:cs="宋体"/>
          <w:snapToGrid w:val="0"/>
          <w:color w:val="000000"/>
          <w:spacing w:val="-6"/>
          <w:kern w:val="0"/>
          <w:sz w:val="20"/>
          <w:szCs w:val="20"/>
          <w:lang w:val="en-US" w:eastAsia="zh-CN" w:bidi="ar"/>
        </w:rPr>
        <w:t xml:space="preserve">如果丙、戊安排在第四季度，下列哪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次会议可以安排在第三季度？ </w:t>
      </w:r>
    </w:p>
    <w:p w14:paraId="62DB965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乙和己 </w:t>
      </w:r>
    </w:p>
    <w:p w14:paraId="013B882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已和庚 </w:t>
      </w:r>
    </w:p>
    <w:p w14:paraId="3A13E7D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甲和庚 </w:t>
      </w:r>
    </w:p>
    <w:p w14:paraId="201AFDF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乙和丁 </w:t>
      </w:r>
    </w:p>
    <w:p w14:paraId="70C9B6D7">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3838EB6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110.</w:t>
      </w:r>
      <w:r>
        <w:rPr>
          <w:rFonts w:hint="eastAsia" w:ascii="宋体" w:hAnsi="宋体" w:eastAsia="宋体" w:cs="宋体"/>
          <w:snapToGrid w:val="0"/>
          <w:color w:val="000000"/>
          <w:spacing w:val="-6"/>
          <w:kern w:val="0"/>
          <w:sz w:val="20"/>
          <w:szCs w:val="20"/>
          <w:lang w:val="en-US" w:eastAsia="zh-CN" w:bidi="ar"/>
        </w:rPr>
        <w:t xml:space="preserve">如果甲安排在第三季度，第四季度不安排会议，庚不可能和哪次会议安排在同一季度？ </w:t>
      </w:r>
    </w:p>
    <w:p w14:paraId="6226169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乙 </w:t>
      </w:r>
    </w:p>
    <w:p w14:paraId="5229A66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丙 </w:t>
      </w:r>
    </w:p>
    <w:p w14:paraId="3F724E9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己 </w:t>
      </w:r>
    </w:p>
    <w:p w14:paraId="525520A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辛 </w:t>
      </w:r>
    </w:p>
    <w:p w14:paraId="58E08534">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B</w:t>
      </w:r>
    </w:p>
    <w:p w14:paraId="11A0690F">
      <w:pPr>
        <w:keepNext w:val="0"/>
        <w:keepLines w:val="0"/>
        <w:widowControl/>
        <w:suppressLineNumbers w:val="0"/>
        <w:jc w:val="left"/>
        <w:rPr>
          <w:rFonts w:hint="eastAsia" w:ascii="宋体" w:hAnsi="宋体" w:eastAsia="宋体" w:cs="宋体"/>
          <w:b/>
          <w:bCs/>
          <w:snapToGrid w:val="0"/>
          <w:color w:val="000000"/>
          <w:spacing w:val="-6"/>
          <w:kern w:val="0"/>
          <w:sz w:val="30"/>
          <w:szCs w:val="30"/>
          <w:lang w:val="en-US" w:eastAsia="zh-CN" w:bidi="ar"/>
        </w:rPr>
      </w:pPr>
    </w:p>
    <w:p w14:paraId="7C285C38">
      <w:pPr>
        <w:keepNext w:val="0"/>
        <w:keepLines w:val="0"/>
        <w:widowControl/>
        <w:suppressLineNumbers w:val="0"/>
        <w:jc w:val="left"/>
        <w:rPr>
          <w:rFonts w:hint="eastAsia" w:ascii="宋体" w:hAnsi="宋体" w:eastAsia="宋体" w:cs="宋体"/>
          <w:b/>
          <w:bCs/>
          <w:snapToGrid w:val="0"/>
          <w:color w:val="000000"/>
          <w:spacing w:val="-6"/>
          <w:kern w:val="0"/>
          <w:sz w:val="30"/>
          <w:szCs w:val="30"/>
          <w:lang w:val="en-US" w:eastAsia="zh-CN" w:bidi="ar"/>
        </w:rPr>
      </w:pPr>
    </w:p>
    <w:p w14:paraId="33067766">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10DE09EA">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4BB792D8">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6D3F1B90">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2DDD8190">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03EB5DCB">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6351C3EB">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6AEC3200">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60712F26">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793FBF59">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3E9F3FAC">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532D21DC">
      <w:pPr>
        <w:keepNext w:val="0"/>
        <w:keepLines w:val="0"/>
        <w:widowControl/>
        <w:suppressLineNumbers w:val="0"/>
        <w:jc w:val="center"/>
        <w:rPr>
          <w:rFonts w:hint="eastAsia" w:ascii="宋体" w:hAnsi="宋体" w:eastAsia="宋体" w:cs="宋体"/>
          <w:b/>
          <w:bCs/>
          <w:snapToGrid w:val="0"/>
          <w:color w:val="000000"/>
          <w:spacing w:val="-6"/>
          <w:kern w:val="0"/>
          <w:sz w:val="30"/>
          <w:szCs w:val="30"/>
          <w:lang w:val="en-US" w:eastAsia="zh-CN" w:bidi="ar"/>
        </w:rPr>
      </w:pPr>
    </w:p>
    <w:p w14:paraId="22546B81">
      <w:pPr>
        <w:keepNext w:val="0"/>
        <w:keepLines w:val="0"/>
        <w:widowControl/>
        <w:suppressLineNumbers w:val="0"/>
        <w:jc w:val="center"/>
      </w:pPr>
      <w:r>
        <w:rPr>
          <w:rFonts w:hint="eastAsia" w:ascii="宋体" w:hAnsi="宋体" w:eastAsia="宋体" w:cs="宋体"/>
          <w:b/>
          <w:bCs/>
          <w:snapToGrid w:val="0"/>
          <w:color w:val="000000"/>
          <w:spacing w:val="-6"/>
          <w:kern w:val="0"/>
          <w:sz w:val="30"/>
          <w:szCs w:val="30"/>
          <w:lang w:val="en-US" w:eastAsia="zh-CN" w:bidi="ar"/>
        </w:rPr>
        <w:t>第六部分 资料分析</w:t>
      </w:r>
    </w:p>
    <w:p w14:paraId="3C05F395">
      <w:pPr>
        <w:keepNext w:val="0"/>
        <w:keepLines w:val="0"/>
        <w:widowControl/>
        <w:suppressLineNumbers w:val="0"/>
        <w:jc w:val="left"/>
        <w:rPr>
          <w:rFonts w:hint="eastAsia" w:ascii="宋体" w:hAnsi="宋体" w:eastAsia="宋体" w:cs="宋体"/>
          <w:b/>
          <w:bCs/>
          <w:snapToGrid w:val="0"/>
          <w:color w:val="000000"/>
          <w:spacing w:val="-6"/>
          <w:kern w:val="0"/>
          <w:sz w:val="20"/>
          <w:szCs w:val="20"/>
          <w:lang w:val="en-US" w:eastAsia="zh-CN" w:bidi="ar"/>
        </w:rPr>
      </w:pPr>
    </w:p>
    <w:p w14:paraId="6AE1A4C6">
      <w:pPr>
        <w:keepNext w:val="0"/>
        <w:keepLines w:val="0"/>
        <w:widowControl/>
        <w:suppressLineNumbers w:val="0"/>
        <w:jc w:val="left"/>
        <w:rPr>
          <w:rFonts w:hint="eastAsia" w:ascii="宋体" w:hAnsi="宋体" w:eastAsia="宋体" w:cs="宋体"/>
          <w:b/>
          <w:bCs/>
          <w:snapToGrid w:val="0"/>
          <w:color w:val="000000"/>
          <w:spacing w:val="-6"/>
          <w:kern w:val="0"/>
          <w:sz w:val="20"/>
          <w:szCs w:val="20"/>
          <w:lang w:val="en-US" w:eastAsia="zh-CN" w:bidi="ar"/>
        </w:rPr>
      </w:pPr>
    </w:p>
    <w:p w14:paraId="47D7D834">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一、根据以下资料，回答 </w:t>
      </w:r>
      <w:r>
        <w:rPr>
          <w:rFonts w:hint="default" w:ascii="Times New Roman" w:hAnsi="Times New Roman" w:eastAsia="宋体" w:cs="Times New Roman"/>
          <w:b/>
          <w:bCs/>
          <w:snapToGrid w:val="0"/>
          <w:color w:val="000000"/>
          <w:spacing w:val="-6"/>
          <w:kern w:val="0"/>
          <w:sz w:val="20"/>
          <w:szCs w:val="20"/>
          <w:lang w:val="en-US" w:eastAsia="zh-CN" w:bidi="ar"/>
        </w:rPr>
        <w:t xml:space="preserve">111~115 </w:t>
      </w:r>
      <w:r>
        <w:rPr>
          <w:rFonts w:hint="eastAsia" w:ascii="宋体" w:hAnsi="宋体" w:eastAsia="宋体" w:cs="宋体"/>
          <w:b/>
          <w:bCs/>
          <w:snapToGrid w:val="0"/>
          <w:color w:val="000000"/>
          <w:spacing w:val="-6"/>
          <w:kern w:val="0"/>
          <w:sz w:val="20"/>
          <w:szCs w:val="20"/>
          <w:lang w:val="en-US" w:eastAsia="zh-CN" w:bidi="ar"/>
        </w:rPr>
        <w:t xml:space="preserve">题。 </w:t>
      </w:r>
    </w:p>
    <w:p w14:paraId="25F32E4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截至 </w:t>
      </w: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 xml:space="preserve">年末，我国集成电路布图设计登记累计申请 </w:t>
      </w:r>
      <w:r>
        <w:rPr>
          <w:rFonts w:hint="default" w:ascii="Times New Roman" w:hAnsi="Times New Roman" w:eastAsia="宋体" w:cs="Times New Roman"/>
          <w:snapToGrid w:val="0"/>
          <w:color w:val="000000"/>
          <w:spacing w:val="-6"/>
          <w:kern w:val="0"/>
          <w:sz w:val="20"/>
          <w:szCs w:val="20"/>
          <w:lang w:val="en-US" w:eastAsia="zh-CN" w:bidi="ar"/>
        </w:rPr>
        <w:t xml:space="preserve">93147 </w:t>
      </w:r>
      <w:r>
        <w:rPr>
          <w:rFonts w:hint="eastAsia" w:ascii="宋体" w:hAnsi="宋体" w:eastAsia="宋体" w:cs="宋体"/>
          <w:snapToGrid w:val="0"/>
          <w:color w:val="000000"/>
          <w:spacing w:val="-6"/>
          <w:kern w:val="0"/>
          <w:sz w:val="20"/>
          <w:szCs w:val="20"/>
          <w:lang w:val="en-US" w:eastAsia="zh-CN" w:bidi="ar"/>
        </w:rPr>
        <w:t xml:space="preserve">件，发证 </w:t>
      </w:r>
      <w:r>
        <w:rPr>
          <w:rFonts w:hint="default" w:ascii="Times New Roman" w:hAnsi="Times New Roman" w:eastAsia="宋体" w:cs="Times New Roman"/>
          <w:snapToGrid w:val="0"/>
          <w:color w:val="000000"/>
          <w:spacing w:val="-6"/>
          <w:kern w:val="0"/>
          <w:sz w:val="20"/>
          <w:szCs w:val="20"/>
          <w:lang w:val="en-US" w:eastAsia="zh-CN" w:bidi="ar"/>
        </w:rPr>
        <w:t xml:space="preserve">72378 </w:t>
      </w:r>
      <w:r>
        <w:rPr>
          <w:rFonts w:hint="eastAsia" w:ascii="宋体" w:hAnsi="宋体" w:eastAsia="宋体" w:cs="宋体"/>
          <w:snapToGrid w:val="0"/>
          <w:color w:val="000000"/>
          <w:spacing w:val="-6"/>
          <w:kern w:val="0"/>
          <w:sz w:val="20"/>
          <w:szCs w:val="20"/>
          <w:lang w:val="en-US" w:eastAsia="zh-CN" w:bidi="ar"/>
        </w:rPr>
        <w:t>件。</w:t>
      </w:r>
      <w:r>
        <w:rPr>
          <w:rFonts w:hint="default" w:ascii="Times New Roman" w:hAnsi="Times New Roman" w:eastAsia="宋体" w:cs="Times New Roman"/>
          <w:snapToGrid w:val="0"/>
          <w:color w:val="000000"/>
          <w:spacing w:val="-6"/>
          <w:kern w:val="0"/>
          <w:sz w:val="20"/>
          <w:szCs w:val="20"/>
          <w:lang w:val="en-US" w:eastAsia="zh-CN" w:bidi="ar"/>
        </w:rPr>
        <w:t>2024</w:t>
      </w:r>
      <w:r>
        <w:rPr>
          <w:rFonts w:hint="eastAsia" w:ascii="宋体" w:hAnsi="宋体" w:eastAsia="宋体" w:cs="宋体"/>
          <w:snapToGrid w:val="0"/>
          <w:color w:val="000000"/>
          <w:spacing w:val="-6"/>
          <w:kern w:val="0"/>
          <w:sz w:val="20"/>
          <w:szCs w:val="20"/>
          <w:lang w:val="en-US" w:eastAsia="zh-CN" w:bidi="ar"/>
        </w:rPr>
        <w:t xml:space="preserve">年 </w:t>
      </w:r>
      <w:r>
        <w:rPr>
          <w:rFonts w:hint="default" w:ascii="Times New Roman" w:hAnsi="Times New Roman" w:eastAsia="宋体" w:cs="Times New Roman"/>
          <w:snapToGrid w:val="0"/>
          <w:color w:val="000000"/>
          <w:spacing w:val="-6"/>
          <w:kern w:val="0"/>
          <w:sz w:val="20"/>
          <w:szCs w:val="20"/>
          <w:lang w:val="en-US" w:eastAsia="zh-CN" w:bidi="ar"/>
        </w:rPr>
        <w:t xml:space="preserve">1~4 </w:t>
      </w:r>
      <w:r>
        <w:rPr>
          <w:rFonts w:hint="eastAsia" w:ascii="宋体" w:hAnsi="宋体" w:eastAsia="宋体" w:cs="宋体"/>
          <w:snapToGrid w:val="0"/>
          <w:color w:val="000000"/>
          <w:spacing w:val="-6"/>
          <w:kern w:val="0"/>
          <w:sz w:val="20"/>
          <w:szCs w:val="20"/>
          <w:lang w:val="en-US" w:eastAsia="zh-CN" w:bidi="ar"/>
        </w:rPr>
        <w:t xml:space="preserve">月，我国集成电路布图设计登记申请 </w:t>
      </w:r>
      <w:r>
        <w:rPr>
          <w:rFonts w:hint="default" w:ascii="Times New Roman" w:hAnsi="Times New Roman" w:eastAsia="宋体" w:cs="Times New Roman"/>
          <w:snapToGrid w:val="0"/>
          <w:color w:val="000000"/>
          <w:spacing w:val="-6"/>
          <w:kern w:val="0"/>
          <w:sz w:val="20"/>
          <w:szCs w:val="20"/>
          <w:lang w:val="en-US" w:eastAsia="zh-CN" w:bidi="ar"/>
        </w:rPr>
        <w:t xml:space="preserve">3503 </w:t>
      </w:r>
      <w:r>
        <w:rPr>
          <w:rFonts w:hint="eastAsia" w:ascii="宋体" w:hAnsi="宋体" w:eastAsia="宋体" w:cs="宋体"/>
          <w:snapToGrid w:val="0"/>
          <w:color w:val="000000"/>
          <w:spacing w:val="-6"/>
          <w:kern w:val="0"/>
          <w:sz w:val="20"/>
          <w:szCs w:val="20"/>
          <w:lang w:val="en-US" w:eastAsia="zh-CN" w:bidi="ar"/>
        </w:rPr>
        <w:t xml:space="preserve">件，发证 </w:t>
      </w:r>
      <w:r>
        <w:rPr>
          <w:rFonts w:hint="default" w:ascii="Times New Roman" w:hAnsi="Times New Roman" w:eastAsia="宋体" w:cs="Times New Roman"/>
          <w:snapToGrid w:val="0"/>
          <w:color w:val="000000"/>
          <w:spacing w:val="-6"/>
          <w:kern w:val="0"/>
          <w:sz w:val="20"/>
          <w:szCs w:val="20"/>
          <w:lang w:val="en-US" w:eastAsia="zh-CN" w:bidi="ar"/>
        </w:rPr>
        <w:t xml:space="preserve">4189 </w:t>
      </w:r>
      <w:r>
        <w:rPr>
          <w:rFonts w:hint="eastAsia" w:ascii="宋体" w:hAnsi="宋体" w:eastAsia="宋体" w:cs="宋体"/>
          <w:snapToGrid w:val="0"/>
          <w:color w:val="000000"/>
          <w:spacing w:val="-6"/>
          <w:kern w:val="0"/>
          <w:sz w:val="20"/>
          <w:szCs w:val="20"/>
          <w:lang w:val="en-US" w:eastAsia="zh-CN" w:bidi="ar"/>
        </w:rPr>
        <w:t>件。</w:t>
      </w:r>
    </w:p>
    <w:p w14:paraId="2FC0CBD1">
      <w:pPr>
        <w:keepNext w:val="0"/>
        <w:keepLines w:val="0"/>
        <w:widowControl/>
        <w:suppressLineNumbers w:val="0"/>
        <w:jc w:val="left"/>
      </w:pPr>
      <w:r>
        <w:drawing>
          <wp:inline distT="0" distB="0" distL="114300" distR="114300">
            <wp:extent cx="4058920" cy="3060700"/>
            <wp:effectExtent l="0" t="0" r="10160" b="2540"/>
            <wp:docPr id="16"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0"/>
                    <pic:cNvPicPr>
                      <a:picLocks noChangeAspect="1"/>
                    </pic:cNvPicPr>
                  </pic:nvPicPr>
                  <pic:blipFill>
                    <a:blip r:embed="rId20"/>
                    <a:stretch>
                      <a:fillRect/>
                    </a:stretch>
                  </pic:blipFill>
                  <pic:spPr>
                    <a:xfrm>
                      <a:off x="0" y="0"/>
                      <a:ext cx="4058920" cy="3060700"/>
                    </a:xfrm>
                    <a:prstGeom prst="rect">
                      <a:avLst/>
                    </a:prstGeom>
                    <a:noFill/>
                    <a:ln>
                      <a:noFill/>
                    </a:ln>
                  </pic:spPr>
                </pic:pic>
              </a:graphicData>
            </a:graphic>
          </wp:inline>
        </w:drawing>
      </w:r>
    </w:p>
    <w:p w14:paraId="7334EEFF">
      <w:pPr>
        <w:keepNext w:val="0"/>
        <w:keepLines w:val="0"/>
        <w:widowControl/>
        <w:suppressLineNumbers w:val="0"/>
        <w:jc w:val="left"/>
      </w:pPr>
    </w:p>
    <w:p w14:paraId="151FE9A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111.</w:t>
      </w:r>
      <w:r>
        <w:rPr>
          <w:rFonts w:hint="eastAsia" w:ascii="宋体" w:hAnsi="宋体" w:eastAsia="宋体" w:cs="宋体"/>
          <w:snapToGrid w:val="0"/>
          <w:color w:val="000000"/>
          <w:spacing w:val="-6"/>
          <w:kern w:val="0"/>
          <w:sz w:val="20"/>
          <w:szCs w:val="20"/>
          <w:lang w:val="en-US" w:eastAsia="zh-CN" w:bidi="ar"/>
        </w:rPr>
        <w:t xml:space="preserve">截至 </w:t>
      </w:r>
      <w:r>
        <w:rPr>
          <w:rFonts w:hint="default" w:ascii="Times New Roman" w:hAnsi="Times New Roman" w:eastAsia="宋体" w:cs="Times New Roman"/>
          <w:snapToGrid w:val="0"/>
          <w:color w:val="000000"/>
          <w:spacing w:val="-6"/>
          <w:kern w:val="0"/>
          <w:sz w:val="20"/>
          <w:szCs w:val="20"/>
          <w:lang w:val="en-US" w:eastAsia="zh-CN" w:bidi="ar"/>
        </w:rPr>
        <w:t xml:space="preserve">2014 </w:t>
      </w:r>
      <w:r>
        <w:rPr>
          <w:rFonts w:hint="eastAsia" w:ascii="宋体" w:hAnsi="宋体" w:eastAsia="宋体" w:cs="宋体"/>
          <w:snapToGrid w:val="0"/>
          <w:color w:val="000000"/>
          <w:spacing w:val="-6"/>
          <w:kern w:val="0"/>
          <w:sz w:val="20"/>
          <w:szCs w:val="20"/>
          <w:lang w:val="en-US" w:eastAsia="zh-CN" w:bidi="ar"/>
        </w:rPr>
        <w:t xml:space="preserve">年末，我国集成电路布图设计登记累计申请量在以下哪个范围内？ </w:t>
      </w:r>
    </w:p>
    <w:p w14:paraId="0A7FD03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超过 </w:t>
      </w:r>
      <w:r>
        <w:rPr>
          <w:rFonts w:hint="default" w:ascii="Times New Roman" w:hAnsi="Times New Roman" w:eastAsia="宋体" w:cs="Times New Roman"/>
          <w:snapToGrid w:val="0"/>
          <w:color w:val="000000"/>
          <w:spacing w:val="-6"/>
          <w:kern w:val="0"/>
          <w:sz w:val="20"/>
          <w:szCs w:val="20"/>
          <w:lang w:val="en-US" w:eastAsia="zh-CN" w:bidi="ar"/>
        </w:rPr>
        <w:t xml:space="preserve">2.2 </w:t>
      </w:r>
      <w:r>
        <w:rPr>
          <w:rFonts w:hint="eastAsia" w:ascii="宋体" w:hAnsi="宋体" w:eastAsia="宋体" w:cs="宋体"/>
          <w:snapToGrid w:val="0"/>
          <w:color w:val="000000"/>
          <w:spacing w:val="-6"/>
          <w:kern w:val="0"/>
          <w:sz w:val="20"/>
          <w:szCs w:val="20"/>
          <w:lang w:val="en-US" w:eastAsia="zh-CN" w:bidi="ar"/>
        </w:rPr>
        <w:t xml:space="preserve">万件 </w:t>
      </w:r>
    </w:p>
    <w:p w14:paraId="39D6874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B.1.5 </w:t>
      </w:r>
      <w:r>
        <w:rPr>
          <w:rFonts w:hint="eastAsia" w:ascii="宋体" w:hAnsi="宋体" w:eastAsia="宋体" w:cs="宋体"/>
          <w:snapToGrid w:val="0"/>
          <w:color w:val="000000"/>
          <w:spacing w:val="-6"/>
          <w:kern w:val="0"/>
          <w:sz w:val="20"/>
          <w:szCs w:val="20"/>
          <w:lang w:val="en-US" w:eastAsia="zh-CN" w:bidi="ar"/>
        </w:rPr>
        <w:t>万</w:t>
      </w:r>
      <w:r>
        <w:rPr>
          <w:rFonts w:hint="default" w:ascii="Times New Roman" w:hAnsi="Times New Roman" w:eastAsia="宋体" w:cs="Times New Roman"/>
          <w:snapToGrid w:val="0"/>
          <w:color w:val="000000"/>
          <w:spacing w:val="-6"/>
          <w:kern w:val="0"/>
          <w:sz w:val="20"/>
          <w:szCs w:val="20"/>
          <w:lang w:val="en-US" w:eastAsia="zh-CN" w:bidi="ar"/>
        </w:rPr>
        <w:t xml:space="preserve">~2.2 </w:t>
      </w:r>
      <w:r>
        <w:rPr>
          <w:rFonts w:hint="eastAsia" w:ascii="宋体" w:hAnsi="宋体" w:eastAsia="宋体" w:cs="宋体"/>
          <w:snapToGrid w:val="0"/>
          <w:color w:val="000000"/>
          <w:spacing w:val="-6"/>
          <w:kern w:val="0"/>
          <w:sz w:val="20"/>
          <w:szCs w:val="20"/>
          <w:lang w:val="en-US" w:eastAsia="zh-CN" w:bidi="ar"/>
        </w:rPr>
        <w:t xml:space="preserve">万件之间 </w:t>
      </w:r>
    </w:p>
    <w:p w14:paraId="7E516A9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C.0.8 </w:t>
      </w:r>
      <w:r>
        <w:rPr>
          <w:rFonts w:hint="eastAsia" w:ascii="宋体" w:hAnsi="宋体" w:eastAsia="宋体" w:cs="宋体"/>
          <w:snapToGrid w:val="0"/>
          <w:color w:val="000000"/>
          <w:spacing w:val="-6"/>
          <w:kern w:val="0"/>
          <w:sz w:val="20"/>
          <w:szCs w:val="20"/>
          <w:lang w:val="en-US" w:eastAsia="zh-CN" w:bidi="ar"/>
        </w:rPr>
        <w:t>万</w:t>
      </w:r>
      <w:r>
        <w:rPr>
          <w:rFonts w:hint="default" w:ascii="Times New Roman" w:hAnsi="Times New Roman" w:eastAsia="宋体" w:cs="Times New Roman"/>
          <w:snapToGrid w:val="0"/>
          <w:color w:val="000000"/>
          <w:spacing w:val="-6"/>
          <w:kern w:val="0"/>
          <w:sz w:val="20"/>
          <w:szCs w:val="20"/>
          <w:lang w:val="en-US" w:eastAsia="zh-CN" w:bidi="ar"/>
        </w:rPr>
        <w:t xml:space="preserve">~1.5 </w:t>
      </w:r>
      <w:r>
        <w:rPr>
          <w:rFonts w:hint="eastAsia" w:ascii="宋体" w:hAnsi="宋体" w:eastAsia="宋体" w:cs="宋体"/>
          <w:snapToGrid w:val="0"/>
          <w:color w:val="000000"/>
          <w:spacing w:val="-6"/>
          <w:kern w:val="0"/>
          <w:sz w:val="20"/>
          <w:szCs w:val="20"/>
          <w:lang w:val="en-US" w:eastAsia="zh-CN" w:bidi="ar"/>
        </w:rPr>
        <w:t xml:space="preserve">万件之间 </w:t>
      </w:r>
    </w:p>
    <w:p w14:paraId="003A54D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不到 </w:t>
      </w:r>
      <w:r>
        <w:rPr>
          <w:rFonts w:hint="default" w:ascii="Times New Roman" w:hAnsi="Times New Roman" w:eastAsia="宋体" w:cs="Times New Roman"/>
          <w:snapToGrid w:val="0"/>
          <w:color w:val="000000"/>
          <w:spacing w:val="-6"/>
          <w:kern w:val="0"/>
          <w:sz w:val="20"/>
          <w:szCs w:val="20"/>
          <w:lang w:val="en-US" w:eastAsia="zh-CN" w:bidi="ar"/>
        </w:rPr>
        <w:t xml:space="preserve">0.8 </w:t>
      </w:r>
      <w:r>
        <w:rPr>
          <w:rFonts w:hint="eastAsia" w:ascii="宋体" w:hAnsi="宋体" w:eastAsia="宋体" w:cs="宋体"/>
          <w:snapToGrid w:val="0"/>
          <w:color w:val="000000"/>
          <w:spacing w:val="-6"/>
          <w:kern w:val="0"/>
          <w:sz w:val="20"/>
          <w:szCs w:val="20"/>
          <w:lang w:val="en-US" w:eastAsia="zh-CN" w:bidi="ar"/>
        </w:rPr>
        <w:t xml:space="preserve">万件 </w:t>
      </w:r>
    </w:p>
    <w:p w14:paraId="25090DBB">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5F08F7E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112.2019~2021 </w:t>
      </w:r>
      <w:r>
        <w:rPr>
          <w:rFonts w:hint="eastAsia" w:ascii="宋体" w:hAnsi="宋体" w:eastAsia="宋体" w:cs="宋体"/>
          <w:snapToGrid w:val="0"/>
          <w:color w:val="000000"/>
          <w:spacing w:val="-6"/>
          <w:kern w:val="0"/>
          <w:sz w:val="20"/>
          <w:szCs w:val="20"/>
          <w:lang w:val="en-US" w:eastAsia="zh-CN" w:bidi="ar"/>
        </w:rPr>
        <w:t xml:space="preserve">年，我国集成电路布图设计登记申请量三年的同比增速： </w:t>
      </w:r>
    </w:p>
    <w:p w14:paraId="64ECFF4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逐年上升 </w:t>
      </w:r>
    </w:p>
    <w:p w14:paraId="0EF41B5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逐年下降 </w:t>
      </w:r>
    </w:p>
    <w:p w14:paraId="534B266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先升后降 </w:t>
      </w:r>
    </w:p>
    <w:p w14:paraId="5BAE0D8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先降后升 </w:t>
      </w:r>
    </w:p>
    <w:p w14:paraId="0B43E57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60B2E31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113.</w:t>
      </w:r>
      <w:r>
        <w:rPr>
          <w:rFonts w:hint="eastAsia" w:ascii="宋体" w:hAnsi="宋体" w:eastAsia="宋体" w:cs="宋体"/>
          <w:snapToGrid w:val="0"/>
          <w:color w:val="000000"/>
          <w:spacing w:val="-6"/>
          <w:kern w:val="0"/>
          <w:sz w:val="20"/>
          <w:szCs w:val="20"/>
          <w:lang w:val="en-US" w:eastAsia="zh-CN" w:bidi="ar"/>
        </w:rPr>
        <w:t xml:space="preserve">如 </w:t>
      </w:r>
      <w:r>
        <w:rPr>
          <w:rFonts w:hint="default" w:ascii="Times New Roman" w:hAnsi="Times New Roman" w:eastAsia="宋体" w:cs="Times New Roman"/>
          <w:snapToGrid w:val="0"/>
          <w:color w:val="000000"/>
          <w:spacing w:val="-6"/>
          <w:kern w:val="0"/>
          <w:sz w:val="20"/>
          <w:szCs w:val="20"/>
          <w:lang w:val="en-US" w:eastAsia="zh-CN" w:bidi="ar"/>
        </w:rPr>
        <w:t xml:space="preserve">2024 </w:t>
      </w:r>
      <w:r>
        <w:rPr>
          <w:rFonts w:hint="eastAsia" w:ascii="宋体" w:hAnsi="宋体" w:eastAsia="宋体" w:cs="宋体"/>
          <w:snapToGrid w:val="0"/>
          <w:color w:val="000000"/>
          <w:spacing w:val="-6"/>
          <w:kern w:val="0"/>
          <w:sz w:val="20"/>
          <w:szCs w:val="20"/>
          <w:lang w:val="en-US" w:eastAsia="zh-CN" w:bidi="ar"/>
        </w:rPr>
        <w:t xml:space="preserve">年 </w:t>
      </w:r>
      <w:r>
        <w:rPr>
          <w:rFonts w:hint="default" w:ascii="Times New Roman" w:hAnsi="Times New Roman" w:eastAsia="宋体" w:cs="Times New Roman"/>
          <w:snapToGrid w:val="0"/>
          <w:color w:val="000000"/>
          <w:spacing w:val="-6"/>
          <w:kern w:val="0"/>
          <w:sz w:val="20"/>
          <w:szCs w:val="20"/>
          <w:lang w:val="en-US" w:eastAsia="zh-CN" w:bidi="ar"/>
        </w:rPr>
        <w:t xml:space="preserve">5~12 </w:t>
      </w:r>
      <w:r>
        <w:rPr>
          <w:rFonts w:hint="eastAsia" w:ascii="宋体" w:hAnsi="宋体" w:eastAsia="宋体" w:cs="宋体"/>
          <w:snapToGrid w:val="0"/>
          <w:color w:val="000000"/>
          <w:spacing w:val="-6"/>
          <w:kern w:val="0"/>
          <w:sz w:val="20"/>
          <w:szCs w:val="20"/>
          <w:lang w:val="en-US" w:eastAsia="zh-CN" w:bidi="ar"/>
        </w:rPr>
        <w:t xml:space="preserve">月，我国集成电路布图设计登记月均发证量与 </w:t>
      </w:r>
      <w:r>
        <w:rPr>
          <w:rFonts w:hint="default" w:ascii="Times New Roman" w:hAnsi="Times New Roman" w:eastAsia="宋体" w:cs="Times New Roman"/>
          <w:snapToGrid w:val="0"/>
          <w:color w:val="000000"/>
          <w:spacing w:val="-6"/>
          <w:kern w:val="0"/>
          <w:sz w:val="20"/>
          <w:szCs w:val="20"/>
          <w:lang w:val="en-US" w:eastAsia="zh-CN" w:bidi="ar"/>
        </w:rPr>
        <w:t xml:space="preserve">1~4 </w:t>
      </w:r>
      <w:r>
        <w:rPr>
          <w:rFonts w:hint="eastAsia" w:ascii="宋体" w:hAnsi="宋体" w:eastAsia="宋体" w:cs="宋体"/>
          <w:snapToGrid w:val="0"/>
          <w:color w:val="000000"/>
          <w:spacing w:val="-6"/>
          <w:kern w:val="0"/>
          <w:sz w:val="20"/>
          <w:szCs w:val="20"/>
          <w:lang w:val="en-US" w:eastAsia="zh-CN" w:bidi="ar"/>
        </w:rPr>
        <w:t>月水平相同，则</w:t>
      </w:r>
      <w:r>
        <w:rPr>
          <w:rFonts w:hint="default" w:ascii="Times New Roman" w:hAnsi="Times New Roman" w:eastAsia="宋体" w:cs="Times New Roman"/>
          <w:snapToGrid w:val="0"/>
          <w:color w:val="000000"/>
          <w:spacing w:val="-6"/>
          <w:kern w:val="0"/>
          <w:sz w:val="20"/>
          <w:szCs w:val="20"/>
          <w:lang w:val="en-US" w:eastAsia="zh-CN" w:bidi="ar"/>
        </w:rPr>
        <w:t xml:space="preserve">2024 </w:t>
      </w:r>
      <w:r>
        <w:rPr>
          <w:rFonts w:hint="eastAsia" w:ascii="宋体" w:hAnsi="宋体" w:eastAsia="宋体" w:cs="宋体"/>
          <w:snapToGrid w:val="0"/>
          <w:color w:val="000000"/>
          <w:spacing w:val="-6"/>
          <w:kern w:val="0"/>
          <w:sz w:val="20"/>
          <w:szCs w:val="20"/>
          <w:lang w:val="en-US" w:eastAsia="zh-CN" w:bidi="ar"/>
        </w:rPr>
        <w:t>年全年，我国集成电路布图设计登记发证量将比上年：</w:t>
      </w:r>
    </w:p>
    <w:p w14:paraId="4C2F175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上升不到 </w:t>
      </w:r>
      <w:r>
        <w:rPr>
          <w:rFonts w:hint="default" w:ascii="Times New Roman" w:hAnsi="Times New Roman" w:eastAsia="宋体" w:cs="Times New Roman"/>
          <w:snapToGrid w:val="0"/>
          <w:color w:val="000000"/>
          <w:spacing w:val="-6"/>
          <w:kern w:val="0"/>
          <w:sz w:val="20"/>
          <w:szCs w:val="20"/>
          <w:lang w:val="en-US" w:eastAsia="zh-CN" w:bidi="ar"/>
        </w:rPr>
        <w:t xml:space="preserve">20% </w:t>
      </w:r>
    </w:p>
    <w:p w14:paraId="27DE19F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上升 </w:t>
      </w:r>
      <w:r>
        <w:rPr>
          <w:rFonts w:hint="default" w:ascii="Times New Roman" w:hAnsi="Times New Roman" w:eastAsia="宋体" w:cs="Times New Roman"/>
          <w:snapToGrid w:val="0"/>
          <w:color w:val="000000"/>
          <w:spacing w:val="-6"/>
          <w:kern w:val="0"/>
          <w:sz w:val="20"/>
          <w:szCs w:val="20"/>
          <w:lang w:val="en-US" w:eastAsia="zh-CN" w:bidi="ar"/>
        </w:rPr>
        <w:t>20%</w:t>
      </w:r>
      <w:r>
        <w:rPr>
          <w:rFonts w:hint="eastAsia" w:ascii="宋体" w:hAnsi="宋体" w:eastAsia="宋体" w:cs="宋体"/>
          <w:snapToGrid w:val="0"/>
          <w:color w:val="000000"/>
          <w:spacing w:val="-6"/>
          <w:kern w:val="0"/>
          <w:sz w:val="20"/>
          <w:szCs w:val="20"/>
          <w:lang w:val="en-US" w:eastAsia="zh-CN" w:bidi="ar"/>
        </w:rPr>
        <w:t xml:space="preserve">以上 </w:t>
      </w:r>
    </w:p>
    <w:p w14:paraId="36067A2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下降不到 </w:t>
      </w:r>
      <w:r>
        <w:rPr>
          <w:rFonts w:hint="default" w:ascii="Times New Roman" w:hAnsi="Times New Roman" w:eastAsia="宋体" w:cs="Times New Roman"/>
          <w:snapToGrid w:val="0"/>
          <w:color w:val="000000"/>
          <w:spacing w:val="-6"/>
          <w:kern w:val="0"/>
          <w:sz w:val="20"/>
          <w:szCs w:val="20"/>
          <w:lang w:val="en-US" w:eastAsia="zh-CN" w:bidi="ar"/>
        </w:rPr>
        <w:t xml:space="preserve">20% </w:t>
      </w:r>
    </w:p>
    <w:p w14:paraId="39299EE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下降 </w:t>
      </w:r>
      <w:r>
        <w:rPr>
          <w:rFonts w:hint="default" w:ascii="Times New Roman" w:hAnsi="Times New Roman" w:eastAsia="宋体" w:cs="Times New Roman"/>
          <w:snapToGrid w:val="0"/>
          <w:color w:val="000000"/>
          <w:spacing w:val="-6"/>
          <w:kern w:val="0"/>
          <w:sz w:val="20"/>
          <w:szCs w:val="20"/>
          <w:lang w:val="en-US" w:eastAsia="zh-CN" w:bidi="ar"/>
        </w:rPr>
        <w:t>20%</w:t>
      </w:r>
      <w:r>
        <w:rPr>
          <w:rFonts w:hint="eastAsia" w:ascii="宋体" w:hAnsi="宋体" w:eastAsia="宋体" w:cs="宋体"/>
          <w:snapToGrid w:val="0"/>
          <w:color w:val="000000"/>
          <w:spacing w:val="-6"/>
          <w:kern w:val="0"/>
          <w:sz w:val="20"/>
          <w:szCs w:val="20"/>
          <w:lang w:val="en-US" w:eastAsia="zh-CN" w:bidi="ar"/>
        </w:rPr>
        <w:t xml:space="preserve">以上 </w:t>
      </w:r>
    </w:p>
    <w:p w14:paraId="034A1FE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5513AFD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114.2015~2023 </w:t>
      </w:r>
      <w:r>
        <w:rPr>
          <w:rFonts w:hint="eastAsia" w:ascii="宋体" w:hAnsi="宋体" w:eastAsia="宋体" w:cs="宋体"/>
          <w:snapToGrid w:val="0"/>
          <w:color w:val="000000"/>
          <w:spacing w:val="-6"/>
          <w:kern w:val="0"/>
          <w:sz w:val="20"/>
          <w:szCs w:val="20"/>
          <w:lang w:val="en-US" w:eastAsia="zh-CN" w:bidi="ar"/>
        </w:rPr>
        <w:t xml:space="preserve">年，我国集成电路布图设计登记当年发证量与当年申请量比值大于 </w:t>
      </w:r>
      <w:r>
        <w:rPr>
          <w:rFonts w:hint="default" w:ascii="Times New Roman" w:hAnsi="Times New Roman" w:eastAsia="宋体" w:cs="Times New Roman"/>
          <w:snapToGrid w:val="0"/>
          <w:color w:val="000000"/>
          <w:spacing w:val="-6"/>
          <w:kern w:val="0"/>
          <w:sz w:val="20"/>
          <w:szCs w:val="20"/>
          <w:lang w:val="en-US" w:eastAsia="zh-CN" w:bidi="ar"/>
        </w:rPr>
        <w:t>0.9</w:t>
      </w:r>
      <w:r>
        <w:rPr>
          <w:rFonts w:hint="eastAsia" w:ascii="宋体" w:hAnsi="宋体" w:eastAsia="宋体" w:cs="宋体"/>
          <w:snapToGrid w:val="0"/>
          <w:color w:val="000000"/>
          <w:spacing w:val="-6"/>
          <w:kern w:val="0"/>
          <w:sz w:val="20"/>
          <w:szCs w:val="20"/>
          <w:lang w:val="en-US" w:eastAsia="zh-CN" w:bidi="ar"/>
        </w:rPr>
        <w:t xml:space="preserve">的年份有几个？ </w:t>
      </w:r>
    </w:p>
    <w:p w14:paraId="6627D33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A.2 </w:t>
      </w:r>
    </w:p>
    <w:p w14:paraId="0B8C556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B.3 </w:t>
      </w:r>
    </w:p>
    <w:p w14:paraId="634968C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C.4 </w:t>
      </w:r>
    </w:p>
    <w:p w14:paraId="1D81FF6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D.5 </w:t>
      </w:r>
    </w:p>
    <w:p w14:paraId="77F9CD0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692981D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115.</w:t>
      </w:r>
      <w:r>
        <w:rPr>
          <w:rFonts w:hint="eastAsia" w:ascii="宋体" w:hAnsi="宋体" w:eastAsia="宋体" w:cs="宋体"/>
          <w:snapToGrid w:val="0"/>
          <w:color w:val="000000"/>
          <w:spacing w:val="-6"/>
          <w:kern w:val="0"/>
          <w:sz w:val="20"/>
          <w:szCs w:val="20"/>
          <w:lang w:val="en-US" w:eastAsia="zh-CN" w:bidi="ar"/>
        </w:rPr>
        <w:t>以下柱状图反映了哪一时间段内，我国集成电路布图设计登记发证量同比增量的变化趋势</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横轴位置表示增量为 </w:t>
      </w:r>
      <w:r>
        <w:rPr>
          <w:rFonts w:hint="default" w:ascii="Times New Roman" w:hAnsi="Times New Roman" w:eastAsia="宋体" w:cs="Times New Roman"/>
          <w:snapToGrid w:val="0"/>
          <w:color w:val="000000"/>
          <w:spacing w:val="-6"/>
          <w:kern w:val="0"/>
          <w:sz w:val="20"/>
          <w:szCs w:val="20"/>
          <w:lang w:val="en-US" w:eastAsia="zh-CN" w:bidi="ar"/>
        </w:rPr>
        <w:t>0)</w:t>
      </w:r>
      <w:r>
        <w:rPr>
          <w:rFonts w:hint="eastAsia" w:ascii="宋体" w:hAnsi="宋体" w:eastAsia="宋体" w:cs="宋体"/>
          <w:snapToGrid w:val="0"/>
          <w:color w:val="000000"/>
          <w:spacing w:val="-6"/>
          <w:kern w:val="0"/>
          <w:sz w:val="20"/>
          <w:szCs w:val="20"/>
          <w:lang w:val="en-US" w:eastAsia="zh-CN" w:bidi="ar"/>
        </w:rPr>
        <w:t>？</w:t>
      </w:r>
    </w:p>
    <w:p w14:paraId="2344B406">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038600" cy="1524000"/>
            <wp:effectExtent l="0" t="0" r="0" b="0"/>
            <wp:docPr id="17"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1"/>
                    <pic:cNvPicPr>
                      <a:picLocks noChangeAspect="1"/>
                    </pic:cNvPicPr>
                  </pic:nvPicPr>
                  <pic:blipFill>
                    <a:blip r:embed="rId21"/>
                    <a:stretch>
                      <a:fillRect/>
                    </a:stretch>
                  </pic:blipFill>
                  <pic:spPr>
                    <a:xfrm>
                      <a:off x="0" y="0"/>
                      <a:ext cx="4038600" cy="1524000"/>
                    </a:xfrm>
                    <a:prstGeom prst="rect">
                      <a:avLst/>
                    </a:prstGeom>
                    <a:noFill/>
                    <a:ln>
                      <a:noFill/>
                    </a:ln>
                  </pic:spPr>
                </pic:pic>
              </a:graphicData>
            </a:graphic>
          </wp:inline>
        </w:drawing>
      </w:r>
    </w:p>
    <w:p w14:paraId="6730319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A.2016~2019 </w:t>
      </w:r>
      <w:r>
        <w:rPr>
          <w:rFonts w:hint="eastAsia" w:ascii="宋体" w:hAnsi="宋体" w:eastAsia="宋体" w:cs="宋体"/>
          <w:snapToGrid w:val="0"/>
          <w:color w:val="000000"/>
          <w:spacing w:val="-6"/>
          <w:kern w:val="0"/>
          <w:sz w:val="20"/>
          <w:szCs w:val="20"/>
          <w:lang w:val="en-US" w:eastAsia="zh-CN" w:bidi="ar"/>
        </w:rPr>
        <w:t xml:space="preserve">年 </w:t>
      </w:r>
    </w:p>
    <w:p w14:paraId="70AB665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B.2017~2020 </w:t>
      </w:r>
      <w:r>
        <w:rPr>
          <w:rFonts w:hint="eastAsia" w:ascii="宋体" w:hAnsi="宋体" w:eastAsia="宋体" w:cs="宋体"/>
          <w:snapToGrid w:val="0"/>
          <w:color w:val="000000"/>
          <w:spacing w:val="-6"/>
          <w:kern w:val="0"/>
          <w:sz w:val="20"/>
          <w:szCs w:val="20"/>
          <w:lang w:val="en-US" w:eastAsia="zh-CN" w:bidi="ar"/>
        </w:rPr>
        <w:t xml:space="preserve">年 </w:t>
      </w:r>
    </w:p>
    <w:p w14:paraId="5AB0657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C.2018~2021 </w:t>
      </w:r>
      <w:r>
        <w:rPr>
          <w:rFonts w:hint="eastAsia" w:ascii="宋体" w:hAnsi="宋体" w:eastAsia="宋体" w:cs="宋体"/>
          <w:snapToGrid w:val="0"/>
          <w:color w:val="000000"/>
          <w:spacing w:val="-6"/>
          <w:kern w:val="0"/>
          <w:sz w:val="20"/>
          <w:szCs w:val="20"/>
          <w:lang w:val="en-US" w:eastAsia="zh-CN" w:bidi="ar"/>
        </w:rPr>
        <w:t xml:space="preserve">年 </w:t>
      </w:r>
    </w:p>
    <w:p w14:paraId="7BCA4402">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D.2019~2022 </w:t>
      </w:r>
      <w:r>
        <w:rPr>
          <w:rFonts w:hint="eastAsia" w:ascii="宋体" w:hAnsi="宋体" w:eastAsia="宋体" w:cs="宋体"/>
          <w:snapToGrid w:val="0"/>
          <w:color w:val="000000"/>
          <w:spacing w:val="-6"/>
          <w:kern w:val="0"/>
          <w:sz w:val="20"/>
          <w:szCs w:val="20"/>
          <w:lang w:val="en-US" w:eastAsia="zh-CN" w:bidi="ar"/>
        </w:rPr>
        <w:t xml:space="preserve">年 </w:t>
      </w:r>
    </w:p>
    <w:p w14:paraId="298A7E4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6210D155">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二、根据以下资料，回答 </w:t>
      </w:r>
      <w:r>
        <w:rPr>
          <w:rFonts w:hint="default" w:ascii="Times New Roman" w:hAnsi="Times New Roman" w:eastAsia="宋体" w:cs="Times New Roman"/>
          <w:b/>
          <w:bCs/>
          <w:snapToGrid w:val="0"/>
          <w:color w:val="000000"/>
          <w:spacing w:val="-6"/>
          <w:kern w:val="0"/>
          <w:sz w:val="20"/>
          <w:szCs w:val="20"/>
          <w:lang w:val="en-US" w:eastAsia="zh-CN" w:bidi="ar"/>
        </w:rPr>
        <w:t xml:space="preserve">116~120 </w:t>
      </w:r>
      <w:r>
        <w:rPr>
          <w:rFonts w:hint="eastAsia" w:ascii="宋体" w:hAnsi="宋体" w:eastAsia="宋体" w:cs="宋体"/>
          <w:b/>
          <w:bCs/>
          <w:snapToGrid w:val="0"/>
          <w:color w:val="000000"/>
          <w:spacing w:val="-6"/>
          <w:kern w:val="0"/>
          <w:sz w:val="20"/>
          <w:szCs w:val="20"/>
          <w:lang w:val="en-US" w:eastAsia="zh-CN" w:bidi="ar"/>
        </w:rPr>
        <w:t>题。</w:t>
      </w:r>
    </w:p>
    <w:p w14:paraId="5A803AB3">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61485" cy="2101850"/>
            <wp:effectExtent l="0" t="0" r="5715" b="1270"/>
            <wp:docPr id="18"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2"/>
                    <pic:cNvPicPr>
                      <a:picLocks noChangeAspect="1"/>
                    </pic:cNvPicPr>
                  </pic:nvPicPr>
                  <pic:blipFill>
                    <a:blip r:embed="rId22"/>
                    <a:stretch>
                      <a:fillRect/>
                    </a:stretch>
                  </pic:blipFill>
                  <pic:spPr>
                    <a:xfrm>
                      <a:off x="0" y="0"/>
                      <a:ext cx="4261485" cy="2101850"/>
                    </a:xfrm>
                    <a:prstGeom prst="rect">
                      <a:avLst/>
                    </a:prstGeom>
                    <a:noFill/>
                    <a:ln>
                      <a:noFill/>
                    </a:ln>
                  </pic:spPr>
                </pic:pic>
              </a:graphicData>
            </a:graphic>
          </wp:inline>
        </w:drawing>
      </w:r>
    </w:p>
    <w:p w14:paraId="5BB58B2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116.2021-2023 </w:t>
      </w:r>
      <w:r>
        <w:rPr>
          <w:rFonts w:hint="eastAsia" w:ascii="宋体" w:hAnsi="宋体" w:eastAsia="宋体" w:cs="宋体"/>
          <w:snapToGrid w:val="0"/>
          <w:color w:val="000000"/>
          <w:spacing w:val="-6"/>
          <w:kern w:val="0"/>
          <w:sz w:val="20"/>
          <w:szCs w:val="20"/>
          <w:lang w:val="en-US" w:eastAsia="zh-CN" w:bidi="ar"/>
        </w:rPr>
        <w:t>年，</w:t>
      </w:r>
      <w:r>
        <w:rPr>
          <w:rFonts w:hint="default" w:ascii="Times New Roman" w:hAnsi="Times New Roman" w:eastAsia="宋体" w:cs="Times New Roman"/>
          <w:snapToGrid w:val="0"/>
          <w:color w:val="000000"/>
          <w:spacing w:val="-6"/>
          <w:kern w:val="0"/>
          <w:sz w:val="20"/>
          <w:szCs w:val="20"/>
          <w:lang w:val="en-US" w:eastAsia="zh-CN" w:bidi="ar"/>
        </w:rPr>
        <w:t xml:space="preserve">Z </w:t>
      </w:r>
      <w:r>
        <w:rPr>
          <w:rFonts w:hint="eastAsia" w:ascii="宋体" w:hAnsi="宋体" w:eastAsia="宋体" w:cs="宋体"/>
          <w:snapToGrid w:val="0"/>
          <w:color w:val="000000"/>
          <w:spacing w:val="-6"/>
          <w:kern w:val="0"/>
          <w:sz w:val="20"/>
          <w:szCs w:val="20"/>
          <w:lang w:val="en-US" w:eastAsia="zh-CN" w:bidi="ar"/>
        </w:rPr>
        <w:t xml:space="preserve">省各年律师人数与律师事务所总数的比值： </w:t>
      </w:r>
    </w:p>
    <w:p w14:paraId="2AA1EC7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 </w:t>
      </w:r>
      <w:r>
        <w:rPr>
          <w:rFonts w:hint="eastAsia" w:ascii="宋体" w:hAnsi="宋体" w:eastAsia="宋体" w:cs="宋体"/>
          <w:snapToGrid w:val="0"/>
          <w:color w:val="000000"/>
          <w:spacing w:val="-6"/>
          <w:kern w:val="0"/>
          <w:sz w:val="20"/>
          <w:szCs w:val="20"/>
          <w:lang w:val="en-US" w:eastAsia="zh-CN" w:bidi="ar"/>
        </w:rPr>
        <w:t xml:space="preserve">先升后降 </w:t>
      </w:r>
    </w:p>
    <w:p w14:paraId="35A4435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先降后升 </w:t>
      </w:r>
    </w:p>
    <w:p w14:paraId="16260BC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持续下降 </w:t>
      </w:r>
    </w:p>
    <w:p w14:paraId="55145E9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持续上升 </w:t>
      </w:r>
    </w:p>
    <w:p w14:paraId="580A278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185AD4F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117.2020~2023 </w:t>
      </w:r>
      <w:r>
        <w:rPr>
          <w:rFonts w:hint="eastAsia" w:ascii="宋体" w:hAnsi="宋体" w:eastAsia="宋体" w:cs="宋体"/>
          <w:snapToGrid w:val="0"/>
          <w:color w:val="000000"/>
          <w:spacing w:val="-6"/>
          <w:kern w:val="0"/>
          <w:sz w:val="20"/>
          <w:szCs w:val="20"/>
          <w:lang w:val="en-US" w:eastAsia="zh-CN" w:bidi="ar"/>
        </w:rPr>
        <w:t>年，</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省律师办理法律业务数之和约是同期基层法律服务工作者办理法 </w:t>
      </w:r>
    </w:p>
    <w:p w14:paraId="1173CF41">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律业务数之和的多少倍？ </w:t>
      </w:r>
    </w:p>
    <w:p w14:paraId="13CF5063">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A.12 </w:t>
      </w:r>
    </w:p>
    <w:p w14:paraId="48C663D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B.15 </w:t>
      </w:r>
    </w:p>
    <w:p w14:paraId="4CB1F7F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C.18 </w:t>
      </w:r>
    </w:p>
    <w:p w14:paraId="4DC119B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D.21 </w:t>
      </w:r>
    </w:p>
    <w:p w14:paraId="1E7877B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0FBAD93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118</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年，</w:t>
      </w:r>
      <w:r>
        <w:rPr>
          <w:rFonts w:hint="default" w:ascii="Times New Roman" w:hAnsi="Times New Roman" w:eastAsia="宋体" w:cs="Times New Roman"/>
          <w:snapToGrid w:val="0"/>
          <w:color w:val="000000"/>
          <w:spacing w:val="-6"/>
          <w:kern w:val="0"/>
          <w:sz w:val="20"/>
          <w:szCs w:val="20"/>
          <w:lang w:val="en-US" w:eastAsia="zh-CN" w:bidi="ar"/>
        </w:rPr>
        <w:t xml:space="preserve">Z </w:t>
      </w:r>
      <w:r>
        <w:rPr>
          <w:rFonts w:hint="eastAsia" w:ascii="宋体" w:hAnsi="宋体" w:eastAsia="宋体" w:cs="宋体"/>
          <w:snapToGrid w:val="0"/>
          <w:color w:val="000000"/>
          <w:spacing w:val="-6"/>
          <w:kern w:val="0"/>
          <w:sz w:val="20"/>
          <w:szCs w:val="20"/>
          <w:lang w:val="en-US" w:eastAsia="zh-CN" w:bidi="ar"/>
        </w:rPr>
        <w:t xml:space="preserve">省含村、社区在内的法律顾问数约是 </w:t>
      </w:r>
      <w:r>
        <w:rPr>
          <w:rFonts w:hint="default" w:ascii="Times New Roman" w:hAnsi="Times New Roman" w:eastAsia="宋体" w:cs="Times New Roman"/>
          <w:snapToGrid w:val="0"/>
          <w:color w:val="000000"/>
          <w:spacing w:val="-6"/>
          <w:kern w:val="0"/>
          <w:sz w:val="20"/>
          <w:szCs w:val="20"/>
          <w:lang w:val="en-US" w:eastAsia="zh-CN" w:bidi="ar"/>
        </w:rPr>
        <w:t xml:space="preserve">2020 </w:t>
      </w:r>
      <w:r>
        <w:rPr>
          <w:rFonts w:hint="eastAsia" w:ascii="宋体" w:hAnsi="宋体" w:eastAsia="宋体" w:cs="宋体"/>
          <w:snapToGrid w:val="0"/>
          <w:color w:val="000000"/>
          <w:spacing w:val="-6"/>
          <w:kern w:val="0"/>
          <w:sz w:val="20"/>
          <w:szCs w:val="20"/>
          <w:lang w:val="en-US" w:eastAsia="zh-CN" w:bidi="ar"/>
        </w:rPr>
        <w:t xml:space="preserve">年的多少倍？ </w:t>
      </w:r>
    </w:p>
    <w:p w14:paraId="4079760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A.1.6 </w:t>
      </w:r>
    </w:p>
    <w:p w14:paraId="400539D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 1.8 </w:t>
      </w:r>
    </w:p>
    <w:p w14:paraId="0767B9F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C.1.2 </w:t>
      </w:r>
    </w:p>
    <w:p w14:paraId="35A283F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D.1.4 </w:t>
      </w:r>
    </w:p>
    <w:p w14:paraId="7DFCDA0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3B78804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119.</w:t>
      </w:r>
      <w:r>
        <w:rPr>
          <w:rFonts w:hint="eastAsia" w:ascii="宋体" w:hAnsi="宋体" w:eastAsia="宋体" w:cs="宋体"/>
          <w:snapToGrid w:val="0"/>
          <w:color w:val="000000"/>
          <w:spacing w:val="-6"/>
          <w:kern w:val="0"/>
          <w:sz w:val="20"/>
          <w:szCs w:val="20"/>
          <w:lang w:val="en-US" w:eastAsia="zh-CN" w:bidi="ar"/>
        </w:rPr>
        <w:t xml:space="preserve">如保持 </w:t>
      </w: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 xml:space="preserve">年同比增量不变，则到哪一年 </w:t>
      </w:r>
      <w:r>
        <w:rPr>
          <w:rFonts w:hint="default" w:ascii="Times New Roman" w:hAnsi="Times New Roman" w:eastAsia="宋体" w:cs="Times New Roman"/>
          <w:snapToGrid w:val="0"/>
          <w:color w:val="000000"/>
          <w:spacing w:val="-6"/>
          <w:kern w:val="0"/>
          <w:sz w:val="20"/>
          <w:szCs w:val="20"/>
          <w:lang w:val="en-US" w:eastAsia="zh-CN" w:bidi="ar"/>
        </w:rPr>
        <w:t xml:space="preserve">Z </w:t>
      </w:r>
      <w:r>
        <w:rPr>
          <w:rFonts w:hint="eastAsia" w:ascii="宋体" w:hAnsi="宋体" w:eastAsia="宋体" w:cs="宋体"/>
          <w:snapToGrid w:val="0"/>
          <w:color w:val="000000"/>
          <w:spacing w:val="-6"/>
          <w:kern w:val="0"/>
          <w:sz w:val="20"/>
          <w:szCs w:val="20"/>
          <w:lang w:val="en-US" w:eastAsia="zh-CN" w:bidi="ar"/>
        </w:rPr>
        <w:t>省律师办理法律业务数将首次超过</w:t>
      </w:r>
      <w:r>
        <w:rPr>
          <w:rFonts w:hint="default" w:ascii="Times New Roman" w:hAnsi="Times New Roman" w:eastAsia="宋体" w:cs="Times New Roman"/>
          <w:snapToGrid w:val="0"/>
          <w:color w:val="000000"/>
          <w:spacing w:val="-6"/>
          <w:kern w:val="0"/>
          <w:sz w:val="20"/>
          <w:szCs w:val="20"/>
          <w:lang w:val="en-US" w:eastAsia="zh-CN" w:bidi="ar"/>
        </w:rPr>
        <w:t xml:space="preserve">150 </w:t>
      </w:r>
      <w:r>
        <w:rPr>
          <w:rFonts w:hint="eastAsia" w:ascii="宋体" w:hAnsi="宋体" w:eastAsia="宋体" w:cs="宋体"/>
          <w:snapToGrid w:val="0"/>
          <w:color w:val="000000"/>
          <w:spacing w:val="-6"/>
          <w:kern w:val="0"/>
          <w:sz w:val="20"/>
          <w:szCs w:val="20"/>
          <w:lang w:val="en-US" w:eastAsia="zh-CN" w:bidi="ar"/>
        </w:rPr>
        <w:t>万件？</w:t>
      </w:r>
    </w:p>
    <w:p w14:paraId="7F16F1B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A.2029 </w:t>
      </w:r>
      <w:r>
        <w:rPr>
          <w:rFonts w:hint="eastAsia" w:ascii="宋体" w:hAnsi="宋体" w:eastAsia="宋体" w:cs="宋体"/>
          <w:snapToGrid w:val="0"/>
          <w:color w:val="000000"/>
          <w:spacing w:val="-6"/>
          <w:kern w:val="0"/>
          <w:sz w:val="20"/>
          <w:szCs w:val="20"/>
          <w:lang w:val="en-US" w:eastAsia="zh-CN" w:bidi="ar"/>
        </w:rPr>
        <w:t xml:space="preserve">年 </w:t>
      </w:r>
    </w:p>
    <w:p w14:paraId="6DF8F6E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B.2028 </w:t>
      </w:r>
      <w:r>
        <w:rPr>
          <w:rFonts w:hint="eastAsia" w:ascii="宋体" w:hAnsi="宋体" w:eastAsia="宋体" w:cs="宋体"/>
          <w:snapToGrid w:val="0"/>
          <w:color w:val="000000"/>
          <w:spacing w:val="-6"/>
          <w:kern w:val="0"/>
          <w:sz w:val="20"/>
          <w:szCs w:val="20"/>
          <w:lang w:val="en-US" w:eastAsia="zh-CN" w:bidi="ar"/>
        </w:rPr>
        <w:t xml:space="preserve">年 </w:t>
      </w:r>
    </w:p>
    <w:p w14:paraId="22BCDF7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C.2027 </w:t>
      </w:r>
      <w:r>
        <w:rPr>
          <w:rFonts w:hint="eastAsia" w:ascii="宋体" w:hAnsi="宋体" w:eastAsia="宋体" w:cs="宋体"/>
          <w:snapToGrid w:val="0"/>
          <w:color w:val="000000"/>
          <w:spacing w:val="-6"/>
          <w:kern w:val="0"/>
          <w:sz w:val="20"/>
          <w:szCs w:val="20"/>
          <w:lang w:val="en-US" w:eastAsia="zh-CN" w:bidi="ar"/>
        </w:rPr>
        <w:t xml:space="preserve">年 </w:t>
      </w:r>
    </w:p>
    <w:p w14:paraId="0D48066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D.2026 </w:t>
      </w:r>
      <w:r>
        <w:rPr>
          <w:rFonts w:hint="eastAsia" w:ascii="宋体" w:hAnsi="宋体" w:eastAsia="宋体" w:cs="宋体"/>
          <w:snapToGrid w:val="0"/>
          <w:color w:val="000000"/>
          <w:spacing w:val="-6"/>
          <w:kern w:val="0"/>
          <w:sz w:val="20"/>
          <w:szCs w:val="20"/>
          <w:lang w:val="en-US" w:eastAsia="zh-CN" w:bidi="ar"/>
        </w:rPr>
        <w:t xml:space="preserve">年 </w:t>
      </w:r>
    </w:p>
    <w:p w14:paraId="5BCB71E6">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55183AB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120.</w:t>
      </w:r>
      <w:r>
        <w:rPr>
          <w:rFonts w:hint="eastAsia" w:ascii="宋体" w:hAnsi="宋体" w:eastAsia="宋体" w:cs="宋体"/>
          <w:snapToGrid w:val="0"/>
          <w:color w:val="000000"/>
          <w:spacing w:val="-6"/>
          <w:kern w:val="0"/>
          <w:sz w:val="20"/>
          <w:szCs w:val="20"/>
          <w:lang w:val="en-US" w:eastAsia="zh-CN" w:bidi="ar"/>
        </w:rPr>
        <w:t xml:space="preserve">以下柱状图反映了 </w:t>
      </w:r>
      <w:r>
        <w:rPr>
          <w:rFonts w:hint="default" w:ascii="Times New Roman" w:hAnsi="Times New Roman" w:eastAsia="宋体" w:cs="Times New Roman"/>
          <w:snapToGrid w:val="0"/>
          <w:color w:val="000000"/>
          <w:spacing w:val="-6"/>
          <w:kern w:val="0"/>
          <w:sz w:val="20"/>
          <w:szCs w:val="20"/>
          <w:lang w:val="en-US" w:eastAsia="zh-CN" w:bidi="ar"/>
        </w:rPr>
        <w:t>2021</w:t>
      </w:r>
      <w:r>
        <w:rPr>
          <w:rFonts w:hint="eastAsia" w:ascii="宋体" w:hAnsi="宋体" w:eastAsia="宋体" w:cs="宋体"/>
          <w:snapToGrid w:val="0"/>
          <w:color w:val="000000"/>
          <w:spacing w:val="-6"/>
          <w:kern w:val="0"/>
          <w:sz w:val="20"/>
          <w:szCs w:val="20"/>
          <w:lang w:val="en-US" w:eastAsia="zh-CN" w:bidi="ar"/>
        </w:rPr>
        <w:t>、</w:t>
      </w:r>
      <w:r>
        <w:rPr>
          <w:rFonts w:hint="default" w:ascii="Times New Roman" w:hAnsi="Times New Roman" w:eastAsia="宋体" w:cs="Times New Roman"/>
          <w:snapToGrid w:val="0"/>
          <w:color w:val="000000"/>
          <w:spacing w:val="-6"/>
          <w:kern w:val="0"/>
          <w:sz w:val="20"/>
          <w:szCs w:val="20"/>
          <w:lang w:val="en-US" w:eastAsia="zh-CN" w:bidi="ar"/>
        </w:rPr>
        <w:t xml:space="preserve">2022 </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 xml:space="preserve">年 </w:t>
      </w:r>
      <w:r>
        <w:rPr>
          <w:rFonts w:hint="default" w:ascii="Times New Roman" w:hAnsi="Times New Roman" w:eastAsia="宋体" w:cs="Times New Roman"/>
          <w:snapToGrid w:val="0"/>
          <w:color w:val="000000"/>
          <w:spacing w:val="-6"/>
          <w:kern w:val="0"/>
          <w:sz w:val="20"/>
          <w:szCs w:val="20"/>
          <w:lang w:val="en-US" w:eastAsia="zh-CN" w:bidi="ar"/>
        </w:rPr>
        <w:t xml:space="preserve">Z </w:t>
      </w:r>
      <w:r>
        <w:rPr>
          <w:rFonts w:hint="eastAsia" w:ascii="宋体" w:hAnsi="宋体" w:eastAsia="宋体" w:cs="宋体"/>
          <w:snapToGrid w:val="0"/>
          <w:color w:val="000000"/>
          <w:spacing w:val="-6"/>
          <w:kern w:val="0"/>
          <w:sz w:val="20"/>
          <w:szCs w:val="20"/>
          <w:lang w:val="en-US" w:eastAsia="zh-CN" w:bidi="ar"/>
        </w:rPr>
        <w:t xml:space="preserve">省律师、基层法律服务工作哪一指标的同比增量变化趋势（横轴位置表示增量为 </w:t>
      </w:r>
      <w:r>
        <w:rPr>
          <w:rFonts w:hint="default" w:ascii="Times New Roman" w:hAnsi="Times New Roman" w:eastAsia="宋体" w:cs="Times New Roman"/>
          <w:snapToGrid w:val="0"/>
          <w:color w:val="000000"/>
          <w:spacing w:val="-6"/>
          <w:kern w:val="0"/>
          <w:sz w:val="20"/>
          <w:szCs w:val="20"/>
          <w:lang w:val="en-US" w:eastAsia="zh-CN" w:bidi="ar"/>
        </w:rPr>
        <w:t>0</w:t>
      </w:r>
      <w:r>
        <w:rPr>
          <w:rFonts w:hint="eastAsia" w:ascii="宋体" w:hAnsi="宋体" w:eastAsia="宋体" w:cs="宋体"/>
          <w:snapToGrid w:val="0"/>
          <w:color w:val="000000"/>
          <w:spacing w:val="-6"/>
          <w:kern w:val="0"/>
          <w:sz w:val="20"/>
          <w:szCs w:val="20"/>
          <w:lang w:val="en-US" w:eastAsia="zh-CN" w:bidi="ar"/>
        </w:rPr>
        <w:t>）？</w:t>
      </w:r>
    </w:p>
    <w:p w14:paraId="15A1C68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58945" cy="1442085"/>
            <wp:effectExtent l="0" t="0" r="8255" b="5715"/>
            <wp:docPr id="1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3"/>
                    <pic:cNvPicPr>
                      <a:picLocks noChangeAspect="1"/>
                    </pic:cNvPicPr>
                  </pic:nvPicPr>
                  <pic:blipFill>
                    <a:blip r:embed="rId23"/>
                    <a:stretch>
                      <a:fillRect/>
                    </a:stretch>
                  </pic:blipFill>
                  <pic:spPr>
                    <a:xfrm>
                      <a:off x="0" y="0"/>
                      <a:ext cx="4258945" cy="1442085"/>
                    </a:xfrm>
                    <a:prstGeom prst="rect">
                      <a:avLst/>
                    </a:prstGeom>
                    <a:noFill/>
                    <a:ln>
                      <a:noFill/>
                    </a:ln>
                  </pic:spPr>
                </pic:pic>
              </a:graphicData>
            </a:graphic>
          </wp:inline>
        </w:drawing>
      </w:r>
    </w:p>
    <w:p w14:paraId="09A6D57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法律顾问数</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不含村、社区</w:t>
      </w:r>
      <w:r>
        <w:rPr>
          <w:rFonts w:hint="default" w:ascii="Times New Roman" w:hAnsi="Times New Roman" w:eastAsia="宋体" w:cs="Times New Roman"/>
          <w:snapToGrid w:val="0"/>
          <w:color w:val="000000"/>
          <w:spacing w:val="-6"/>
          <w:kern w:val="0"/>
          <w:sz w:val="20"/>
          <w:szCs w:val="20"/>
          <w:lang w:val="en-US" w:eastAsia="zh-CN" w:bidi="ar"/>
        </w:rPr>
        <w:t xml:space="preserve">) </w:t>
      </w:r>
    </w:p>
    <w:p w14:paraId="272319A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村</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社区</w:t>
      </w:r>
      <w:r>
        <w:rPr>
          <w:rFonts w:hint="default" w:ascii="Times New Roman" w:hAnsi="Times New Roman" w:eastAsia="宋体" w:cs="Times New Roman"/>
          <w:snapToGrid w:val="0"/>
          <w:color w:val="000000"/>
          <w:spacing w:val="-6"/>
          <w:kern w:val="0"/>
          <w:sz w:val="20"/>
          <w:szCs w:val="20"/>
          <w:lang w:val="en-US" w:eastAsia="zh-CN" w:bidi="ar"/>
        </w:rPr>
        <w:t>)</w:t>
      </w:r>
      <w:r>
        <w:rPr>
          <w:rFonts w:hint="eastAsia" w:ascii="宋体" w:hAnsi="宋体" w:eastAsia="宋体" w:cs="宋体"/>
          <w:snapToGrid w:val="0"/>
          <w:color w:val="000000"/>
          <w:spacing w:val="-6"/>
          <w:kern w:val="0"/>
          <w:sz w:val="20"/>
          <w:szCs w:val="20"/>
          <w:lang w:val="en-US" w:eastAsia="zh-CN" w:bidi="ar"/>
        </w:rPr>
        <w:t xml:space="preserve">法律顾问数 </w:t>
      </w:r>
    </w:p>
    <w:p w14:paraId="1389DC1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律师事务所总数 </w:t>
      </w:r>
    </w:p>
    <w:p w14:paraId="59A7D68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律师人数 </w:t>
      </w:r>
    </w:p>
    <w:p w14:paraId="5A21AF9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654E6EAB">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三、根据以下资料，回答 </w:t>
      </w:r>
      <w:r>
        <w:rPr>
          <w:rFonts w:hint="default" w:ascii="Times New Roman" w:hAnsi="Times New Roman" w:eastAsia="宋体" w:cs="Times New Roman"/>
          <w:b/>
          <w:bCs/>
          <w:snapToGrid w:val="0"/>
          <w:color w:val="000000"/>
          <w:spacing w:val="-6"/>
          <w:kern w:val="0"/>
          <w:sz w:val="20"/>
          <w:szCs w:val="20"/>
          <w:lang w:val="en-US" w:eastAsia="zh-CN" w:bidi="ar"/>
        </w:rPr>
        <w:t xml:space="preserve">121~125 </w:t>
      </w:r>
      <w:r>
        <w:rPr>
          <w:rFonts w:hint="eastAsia" w:ascii="宋体" w:hAnsi="宋体" w:eastAsia="宋体" w:cs="宋体"/>
          <w:b/>
          <w:bCs/>
          <w:snapToGrid w:val="0"/>
          <w:color w:val="000000"/>
          <w:spacing w:val="-6"/>
          <w:kern w:val="0"/>
          <w:sz w:val="20"/>
          <w:szCs w:val="20"/>
          <w:lang w:val="en-US" w:eastAsia="zh-CN" w:bidi="ar"/>
        </w:rPr>
        <w:t>题。</w:t>
      </w:r>
    </w:p>
    <w:p w14:paraId="5763291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58310" cy="1657350"/>
            <wp:effectExtent l="0" t="0" r="8890" b="3810"/>
            <wp:docPr id="20"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4"/>
                    <pic:cNvPicPr>
                      <a:picLocks noChangeAspect="1"/>
                    </pic:cNvPicPr>
                  </pic:nvPicPr>
                  <pic:blipFill>
                    <a:blip r:embed="rId24"/>
                    <a:stretch>
                      <a:fillRect/>
                    </a:stretch>
                  </pic:blipFill>
                  <pic:spPr>
                    <a:xfrm>
                      <a:off x="0" y="0"/>
                      <a:ext cx="4258310" cy="1657350"/>
                    </a:xfrm>
                    <a:prstGeom prst="rect">
                      <a:avLst/>
                    </a:prstGeom>
                    <a:noFill/>
                    <a:ln>
                      <a:noFill/>
                    </a:ln>
                  </pic:spPr>
                </pic:pic>
              </a:graphicData>
            </a:graphic>
          </wp:inline>
        </w:drawing>
      </w:r>
    </w:p>
    <w:p w14:paraId="2ED2C5AC">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58945" cy="2075815"/>
            <wp:effectExtent l="0" t="0" r="8255" b="12065"/>
            <wp:docPr id="21"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5"/>
                    <pic:cNvPicPr>
                      <a:picLocks noChangeAspect="1"/>
                    </pic:cNvPicPr>
                  </pic:nvPicPr>
                  <pic:blipFill>
                    <a:blip r:embed="rId25"/>
                    <a:stretch>
                      <a:fillRect/>
                    </a:stretch>
                  </pic:blipFill>
                  <pic:spPr>
                    <a:xfrm>
                      <a:off x="0" y="0"/>
                      <a:ext cx="4258945" cy="2075815"/>
                    </a:xfrm>
                    <a:prstGeom prst="rect">
                      <a:avLst/>
                    </a:prstGeom>
                    <a:noFill/>
                    <a:ln>
                      <a:noFill/>
                    </a:ln>
                  </pic:spPr>
                </pic:pic>
              </a:graphicData>
            </a:graphic>
          </wp:inline>
        </w:drawing>
      </w:r>
    </w:p>
    <w:p w14:paraId="09B31DC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121.</w:t>
      </w:r>
      <w:r>
        <w:rPr>
          <w:rFonts w:hint="eastAsia" w:ascii="宋体" w:hAnsi="宋体" w:eastAsia="宋体" w:cs="宋体"/>
          <w:snapToGrid w:val="0"/>
          <w:color w:val="000000"/>
          <w:spacing w:val="-6"/>
          <w:kern w:val="0"/>
          <w:sz w:val="20"/>
          <w:szCs w:val="20"/>
          <w:lang w:val="en-US" w:eastAsia="zh-CN" w:bidi="ar"/>
        </w:rPr>
        <w:t xml:space="preserve">以下批次中，公示的专精特新“小巨人”上市企业数量占同批次专精特新“小巨人”企业数量比重最高的是： </w:t>
      </w:r>
    </w:p>
    <w:p w14:paraId="70B05DA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第三批次 </w:t>
      </w:r>
    </w:p>
    <w:p w14:paraId="027146E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第二批次 </w:t>
      </w:r>
    </w:p>
    <w:p w14:paraId="006DCE4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第五批次 </w:t>
      </w:r>
    </w:p>
    <w:p w14:paraId="1D04CDC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第四批次 </w:t>
      </w:r>
    </w:p>
    <w:p w14:paraId="5E146DAF">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2358A1C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122.2019-2023 </w:t>
      </w:r>
      <w:r>
        <w:rPr>
          <w:rFonts w:hint="eastAsia" w:ascii="宋体" w:hAnsi="宋体" w:eastAsia="宋体" w:cs="宋体"/>
          <w:snapToGrid w:val="0"/>
          <w:color w:val="000000"/>
          <w:spacing w:val="-6"/>
          <w:kern w:val="0"/>
          <w:sz w:val="20"/>
          <w:szCs w:val="20"/>
          <w:lang w:val="en-US" w:eastAsia="zh-CN" w:bidi="ar"/>
        </w:rPr>
        <w:t xml:space="preserve">年，有几个城市五批次累计公示的专精特新“小巨人”上市企业数量占全国的比重超过 </w:t>
      </w:r>
      <w:r>
        <w:rPr>
          <w:rFonts w:hint="default" w:ascii="Times New Roman" w:hAnsi="Times New Roman" w:eastAsia="宋体" w:cs="Times New Roman"/>
          <w:snapToGrid w:val="0"/>
          <w:color w:val="000000"/>
          <w:spacing w:val="-6"/>
          <w:kern w:val="0"/>
          <w:sz w:val="20"/>
          <w:szCs w:val="20"/>
          <w:lang w:val="en-US" w:eastAsia="zh-CN" w:bidi="ar"/>
        </w:rPr>
        <w:t>5%</w:t>
      </w:r>
      <w:r>
        <w:rPr>
          <w:rFonts w:hint="eastAsia" w:ascii="宋体" w:hAnsi="宋体" w:eastAsia="宋体" w:cs="宋体"/>
          <w:snapToGrid w:val="0"/>
          <w:color w:val="000000"/>
          <w:spacing w:val="-6"/>
          <w:kern w:val="0"/>
          <w:sz w:val="20"/>
          <w:szCs w:val="20"/>
          <w:lang w:val="en-US" w:eastAsia="zh-CN" w:bidi="ar"/>
        </w:rPr>
        <w:t xml:space="preserve">？ </w:t>
      </w:r>
    </w:p>
    <w:p w14:paraId="436B11C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A.1 </w:t>
      </w:r>
    </w:p>
    <w:p w14:paraId="73FF5BE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B.2 </w:t>
      </w:r>
    </w:p>
    <w:p w14:paraId="5D5297F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C.3 </w:t>
      </w:r>
    </w:p>
    <w:p w14:paraId="60C8F06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D.4 </w:t>
      </w:r>
    </w:p>
    <w:p w14:paraId="1236E5DA">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C </w:t>
      </w:r>
    </w:p>
    <w:p w14:paraId="571A37C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123.</w:t>
      </w:r>
      <w:r>
        <w:rPr>
          <w:rFonts w:hint="eastAsia" w:ascii="宋体" w:hAnsi="宋体" w:eastAsia="宋体" w:cs="宋体"/>
          <w:snapToGrid w:val="0"/>
          <w:color w:val="000000"/>
          <w:spacing w:val="-6"/>
          <w:kern w:val="0"/>
          <w:sz w:val="20"/>
          <w:szCs w:val="20"/>
          <w:lang w:val="en-US" w:eastAsia="zh-CN" w:bidi="ar"/>
        </w:rPr>
        <w:t xml:space="preserve">已知 </w:t>
      </w: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 xml:space="preserve">年第五批次公示的专精特新“小巨人”企业分布于全国 </w:t>
      </w:r>
      <w:r>
        <w:rPr>
          <w:rFonts w:hint="default" w:ascii="Times New Roman" w:hAnsi="Times New Roman" w:eastAsia="宋体" w:cs="Times New Roman"/>
          <w:snapToGrid w:val="0"/>
          <w:color w:val="000000"/>
          <w:spacing w:val="-6"/>
          <w:kern w:val="0"/>
          <w:sz w:val="20"/>
          <w:szCs w:val="20"/>
          <w:lang w:val="en-US" w:eastAsia="zh-CN" w:bidi="ar"/>
        </w:rPr>
        <w:t xml:space="preserve">300 </w:t>
      </w:r>
      <w:r>
        <w:rPr>
          <w:rFonts w:hint="eastAsia" w:ascii="宋体" w:hAnsi="宋体" w:eastAsia="宋体" w:cs="宋体"/>
          <w:snapToGrid w:val="0"/>
          <w:color w:val="000000"/>
          <w:spacing w:val="-6"/>
          <w:kern w:val="0"/>
          <w:sz w:val="20"/>
          <w:szCs w:val="20"/>
          <w:lang w:val="en-US" w:eastAsia="zh-CN" w:bidi="ar"/>
        </w:rPr>
        <w:t xml:space="preserve">个城市中，则这些城市平均每个有多少家第五批次公示的专精特新“小巨人”非上市企业？ </w:t>
      </w:r>
    </w:p>
    <w:p w14:paraId="554D569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不到 </w:t>
      </w:r>
      <w:r>
        <w:rPr>
          <w:rFonts w:hint="default" w:ascii="Times New Roman" w:hAnsi="Times New Roman" w:eastAsia="宋体" w:cs="Times New Roman"/>
          <w:snapToGrid w:val="0"/>
          <w:color w:val="000000"/>
          <w:spacing w:val="-6"/>
          <w:kern w:val="0"/>
          <w:sz w:val="20"/>
          <w:szCs w:val="20"/>
          <w:lang w:val="en-US" w:eastAsia="zh-CN" w:bidi="ar"/>
        </w:rPr>
        <w:t xml:space="preserve">11 </w:t>
      </w:r>
      <w:r>
        <w:rPr>
          <w:rFonts w:hint="eastAsia" w:ascii="宋体" w:hAnsi="宋体" w:eastAsia="宋体" w:cs="宋体"/>
          <w:snapToGrid w:val="0"/>
          <w:color w:val="000000"/>
          <w:spacing w:val="-6"/>
          <w:kern w:val="0"/>
          <w:sz w:val="20"/>
          <w:szCs w:val="20"/>
          <w:lang w:val="en-US" w:eastAsia="zh-CN" w:bidi="ar"/>
        </w:rPr>
        <w:t xml:space="preserve">家 </w:t>
      </w:r>
    </w:p>
    <w:p w14:paraId="705E18C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B.11~12 </w:t>
      </w:r>
      <w:r>
        <w:rPr>
          <w:rFonts w:hint="eastAsia" w:ascii="宋体" w:hAnsi="宋体" w:eastAsia="宋体" w:cs="宋体"/>
          <w:snapToGrid w:val="0"/>
          <w:color w:val="000000"/>
          <w:spacing w:val="-6"/>
          <w:kern w:val="0"/>
          <w:sz w:val="20"/>
          <w:szCs w:val="20"/>
          <w:lang w:val="en-US" w:eastAsia="zh-CN" w:bidi="ar"/>
        </w:rPr>
        <w:t xml:space="preserve">家之间 </w:t>
      </w:r>
    </w:p>
    <w:p w14:paraId="1896714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C.12~13 </w:t>
      </w:r>
      <w:r>
        <w:rPr>
          <w:rFonts w:hint="eastAsia" w:ascii="宋体" w:hAnsi="宋体" w:eastAsia="宋体" w:cs="宋体"/>
          <w:snapToGrid w:val="0"/>
          <w:color w:val="000000"/>
          <w:spacing w:val="-6"/>
          <w:kern w:val="0"/>
          <w:sz w:val="20"/>
          <w:szCs w:val="20"/>
          <w:lang w:val="en-US" w:eastAsia="zh-CN" w:bidi="ar"/>
        </w:rPr>
        <w:t xml:space="preserve">家之间 </w:t>
      </w:r>
    </w:p>
    <w:p w14:paraId="0DCE433C">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超过 </w:t>
      </w:r>
      <w:r>
        <w:rPr>
          <w:rFonts w:hint="default" w:ascii="Times New Roman" w:hAnsi="Times New Roman" w:eastAsia="宋体" w:cs="Times New Roman"/>
          <w:snapToGrid w:val="0"/>
          <w:color w:val="000000"/>
          <w:spacing w:val="-6"/>
          <w:kern w:val="0"/>
          <w:sz w:val="20"/>
          <w:szCs w:val="20"/>
          <w:lang w:val="en-US" w:eastAsia="zh-CN" w:bidi="ar"/>
        </w:rPr>
        <w:t xml:space="preserve">13 </w:t>
      </w:r>
      <w:r>
        <w:rPr>
          <w:rFonts w:hint="eastAsia" w:ascii="宋体" w:hAnsi="宋体" w:eastAsia="宋体" w:cs="宋体"/>
          <w:snapToGrid w:val="0"/>
          <w:color w:val="000000"/>
          <w:spacing w:val="-6"/>
          <w:kern w:val="0"/>
          <w:sz w:val="20"/>
          <w:szCs w:val="20"/>
          <w:lang w:val="en-US" w:eastAsia="zh-CN" w:bidi="ar"/>
        </w:rPr>
        <w:t xml:space="preserve">家 </w:t>
      </w:r>
    </w:p>
    <w:p w14:paraId="6CCC008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B</w:t>
      </w:r>
    </w:p>
    <w:p w14:paraId="16BFE9B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124.2019-2023 </w:t>
      </w:r>
      <w:r>
        <w:rPr>
          <w:rFonts w:hint="eastAsia" w:ascii="宋体" w:hAnsi="宋体" w:eastAsia="宋体" w:cs="宋体"/>
          <w:snapToGrid w:val="0"/>
          <w:color w:val="000000"/>
          <w:spacing w:val="-6"/>
          <w:kern w:val="0"/>
          <w:sz w:val="20"/>
          <w:szCs w:val="20"/>
          <w:lang w:val="en-US" w:eastAsia="zh-CN" w:bidi="ar"/>
        </w:rPr>
        <w:t xml:space="preserve">年，北京、上海、广州、深圳 </w:t>
      </w:r>
      <w:r>
        <w:rPr>
          <w:rFonts w:hint="default" w:ascii="Times New Roman" w:hAnsi="Times New Roman" w:eastAsia="宋体" w:cs="Times New Roman"/>
          <w:snapToGrid w:val="0"/>
          <w:color w:val="000000"/>
          <w:spacing w:val="-6"/>
          <w:kern w:val="0"/>
          <w:sz w:val="20"/>
          <w:szCs w:val="20"/>
          <w:lang w:val="en-US" w:eastAsia="zh-CN" w:bidi="ar"/>
        </w:rPr>
        <w:t xml:space="preserve">4 </w:t>
      </w:r>
      <w:r>
        <w:rPr>
          <w:rFonts w:hint="eastAsia" w:ascii="宋体" w:hAnsi="宋体" w:eastAsia="宋体" w:cs="宋体"/>
          <w:snapToGrid w:val="0"/>
          <w:color w:val="000000"/>
          <w:spacing w:val="-6"/>
          <w:kern w:val="0"/>
          <w:sz w:val="20"/>
          <w:szCs w:val="20"/>
          <w:lang w:val="en-US" w:eastAsia="zh-CN" w:bidi="ar"/>
        </w:rPr>
        <w:t xml:space="preserve">个城市五批次累计公示的专精特新“小巨人”企业数量之和约占全国总数的： </w:t>
      </w:r>
    </w:p>
    <w:p w14:paraId="5DCD5DC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A.20% </w:t>
      </w:r>
    </w:p>
    <w:p w14:paraId="47F01F1F">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B.25% </w:t>
      </w:r>
    </w:p>
    <w:p w14:paraId="501D581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C.30% </w:t>
      </w:r>
    </w:p>
    <w:p w14:paraId="4A0DBE9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D.35% </w:t>
      </w:r>
    </w:p>
    <w:p w14:paraId="3EF2C44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A </w:t>
      </w:r>
    </w:p>
    <w:p w14:paraId="4339B1A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125</w:t>
      </w:r>
      <w:r>
        <w:rPr>
          <w:rFonts w:hint="eastAsia" w:ascii="宋体" w:hAnsi="宋体" w:eastAsia="宋体" w:cs="宋体"/>
          <w:snapToGrid w:val="0"/>
          <w:color w:val="000000"/>
          <w:spacing w:val="-6"/>
          <w:kern w:val="0"/>
          <w:sz w:val="20"/>
          <w:szCs w:val="20"/>
          <w:lang w:val="en-US" w:eastAsia="zh-CN" w:bidi="ar"/>
        </w:rPr>
        <w:t xml:space="preserve">、以下饼状图中，最能准确反映 </w:t>
      </w:r>
      <w:r>
        <w:rPr>
          <w:rFonts w:hint="default" w:ascii="Times New Roman" w:hAnsi="Times New Roman" w:eastAsia="宋体" w:cs="Times New Roman"/>
          <w:snapToGrid w:val="0"/>
          <w:color w:val="000000"/>
          <w:spacing w:val="-6"/>
          <w:kern w:val="0"/>
          <w:sz w:val="20"/>
          <w:szCs w:val="20"/>
          <w:lang w:val="en-US" w:eastAsia="zh-CN" w:bidi="ar"/>
        </w:rPr>
        <w:t xml:space="preserve">2019-2023 </w:t>
      </w:r>
      <w:r>
        <w:rPr>
          <w:rFonts w:hint="eastAsia" w:ascii="宋体" w:hAnsi="宋体" w:eastAsia="宋体" w:cs="宋体"/>
          <w:snapToGrid w:val="0"/>
          <w:color w:val="000000"/>
          <w:spacing w:val="-6"/>
          <w:kern w:val="0"/>
          <w:sz w:val="20"/>
          <w:szCs w:val="20"/>
          <w:lang w:val="en-US" w:eastAsia="zh-CN" w:bidi="ar"/>
        </w:rPr>
        <w:t>年五批次公示的专精特新“小巨人”上市企业中，第一批次（黑色）、第二批次（横线）、第三批次（竖线）、第四批次（白色）和第五批次（网格）企业数量比例关系的是：</w:t>
      </w:r>
    </w:p>
    <w:p w14:paraId="44B57B8B">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r>
        <w:drawing>
          <wp:inline distT="0" distB="0" distL="114300" distR="114300">
            <wp:extent cx="4260215" cy="1872615"/>
            <wp:effectExtent l="0" t="0" r="6985" b="1905"/>
            <wp:docPr id="22"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6"/>
                    <pic:cNvPicPr>
                      <a:picLocks noChangeAspect="1"/>
                    </pic:cNvPicPr>
                  </pic:nvPicPr>
                  <pic:blipFill>
                    <a:blip r:embed="rId26"/>
                    <a:stretch>
                      <a:fillRect/>
                    </a:stretch>
                  </pic:blipFill>
                  <pic:spPr>
                    <a:xfrm>
                      <a:off x="0" y="0"/>
                      <a:ext cx="4260215" cy="1872615"/>
                    </a:xfrm>
                    <a:prstGeom prst="rect">
                      <a:avLst/>
                    </a:prstGeom>
                    <a:noFill/>
                    <a:ln>
                      <a:noFill/>
                    </a:ln>
                  </pic:spPr>
                </pic:pic>
              </a:graphicData>
            </a:graphic>
          </wp:inline>
        </w:drawing>
      </w:r>
    </w:p>
    <w:p w14:paraId="19BBA775">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102E6992">
      <w:pPr>
        <w:keepNext w:val="0"/>
        <w:keepLines w:val="0"/>
        <w:widowControl/>
        <w:suppressLineNumbers w:val="0"/>
        <w:jc w:val="left"/>
      </w:pPr>
      <w:r>
        <w:rPr>
          <w:rFonts w:hint="eastAsia" w:ascii="宋体" w:hAnsi="宋体" w:eastAsia="宋体" w:cs="宋体"/>
          <w:b/>
          <w:bCs/>
          <w:snapToGrid w:val="0"/>
          <w:color w:val="000000"/>
          <w:spacing w:val="-6"/>
          <w:kern w:val="0"/>
          <w:sz w:val="20"/>
          <w:szCs w:val="20"/>
          <w:lang w:val="en-US" w:eastAsia="zh-CN" w:bidi="ar"/>
        </w:rPr>
        <w:t xml:space="preserve">四、根据以下资料，回答 </w:t>
      </w:r>
      <w:r>
        <w:rPr>
          <w:rFonts w:hint="default" w:ascii="Times New Roman" w:hAnsi="Times New Roman" w:eastAsia="宋体" w:cs="Times New Roman"/>
          <w:b/>
          <w:bCs/>
          <w:snapToGrid w:val="0"/>
          <w:color w:val="000000"/>
          <w:spacing w:val="-6"/>
          <w:kern w:val="0"/>
          <w:sz w:val="20"/>
          <w:szCs w:val="20"/>
          <w:lang w:val="en-US" w:eastAsia="zh-CN" w:bidi="ar"/>
        </w:rPr>
        <w:t xml:space="preserve">126~130 </w:t>
      </w:r>
      <w:r>
        <w:rPr>
          <w:rFonts w:hint="eastAsia" w:ascii="宋体" w:hAnsi="宋体" w:eastAsia="宋体" w:cs="宋体"/>
          <w:b/>
          <w:bCs/>
          <w:snapToGrid w:val="0"/>
          <w:color w:val="000000"/>
          <w:spacing w:val="-6"/>
          <w:kern w:val="0"/>
          <w:sz w:val="20"/>
          <w:szCs w:val="20"/>
          <w:lang w:val="en-US" w:eastAsia="zh-CN" w:bidi="ar"/>
        </w:rPr>
        <w:t xml:space="preserve">题 </w:t>
      </w:r>
    </w:p>
    <w:p w14:paraId="6FCECF71">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 xml:space="preserve">年三季度，支付系统共处理支付业务 </w:t>
      </w:r>
      <w:r>
        <w:rPr>
          <w:rFonts w:hint="default" w:ascii="Times New Roman" w:hAnsi="Times New Roman" w:eastAsia="宋体" w:cs="Times New Roman"/>
          <w:snapToGrid w:val="0"/>
          <w:color w:val="000000"/>
          <w:spacing w:val="-6"/>
          <w:kern w:val="0"/>
          <w:sz w:val="20"/>
          <w:szCs w:val="20"/>
          <w:lang w:val="en-US" w:eastAsia="zh-CN" w:bidi="ar"/>
        </w:rPr>
        <w:t xml:space="preserve">3358.88 </w:t>
      </w:r>
      <w:r>
        <w:rPr>
          <w:rFonts w:hint="eastAsia" w:ascii="宋体" w:hAnsi="宋体" w:eastAsia="宋体" w:cs="宋体"/>
          <w:snapToGrid w:val="0"/>
          <w:color w:val="000000"/>
          <w:spacing w:val="-6"/>
          <w:kern w:val="0"/>
          <w:sz w:val="20"/>
          <w:szCs w:val="20"/>
          <w:lang w:val="en-US" w:eastAsia="zh-CN" w:bidi="ar"/>
        </w:rPr>
        <w:t xml:space="preserve">亿笔，金额 </w:t>
      </w:r>
      <w:r>
        <w:rPr>
          <w:rFonts w:hint="default" w:ascii="Times New Roman" w:hAnsi="Times New Roman" w:eastAsia="宋体" w:cs="Times New Roman"/>
          <w:snapToGrid w:val="0"/>
          <w:color w:val="000000"/>
          <w:spacing w:val="-6"/>
          <w:kern w:val="0"/>
          <w:sz w:val="20"/>
          <w:szCs w:val="20"/>
          <w:lang w:val="en-US" w:eastAsia="zh-CN" w:bidi="ar"/>
        </w:rPr>
        <w:t xml:space="preserve">3151.37 </w:t>
      </w:r>
      <w:r>
        <w:rPr>
          <w:rFonts w:hint="eastAsia" w:ascii="宋体" w:hAnsi="宋体" w:eastAsia="宋体" w:cs="宋体"/>
          <w:snapToGrid w:val="0"/>
          <w:color w:val="000000"/>
          <w:spacing w:val="-6"/>
          <w:kern w:val="0"/>
          <w:sz w:val="20"/>
          <w:szCs w:val="20"/>
          <w:lang w:val="en-US" w:eastAsia="zh-CN" w:bidi="ar"/>
        </w:rPr>
        <w:t xml:space="preserve">万亿元，同比分别增长 </w:t>
      </w:r>
      <w:r>
        <w:rPr>
          <w:rFonts w:hint="default" w:ascii="Times New Roman" w:hAnsi="Times New Roman" w:eastAsia="宋体" w:cs="Times New Roman"/>
          <w:snapToGrid w:val="0"/>
          <w:color w:val="000000"/>
          <w:spacing w:val="-6"/>
          <w:kern w:val="0"/>
          <w:sz w:val="20"/>
          <w:szCs w:val="20"/>
          <w:lang w:val="en-US" w:eastAsia="zh-CN" w:bidi="ar"/>
        </w:rPr>
        <w:t>12.59%</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6.97%</w:t>
      </w:r>
      <w:r>
        <w:rPr>
          <w:rFonts w:hint="eastAsia" w:ascii="宋体" w:hAnsi="宋体" w:eastAsia="宋体" w:cs="宋体"/>
          <w:snapToGrid w:val="0"/>
          <w:color w:val="000000"/>
          <w:spacing w:val="-6"/>
          <w:kern w:val="0"/>
          <w:sz w:val="20"/>
          <w:szCs w:val="20"/>
          <w:lang w:val="en-US" w:eastAsia="zh-CN" w:bidi="ar"/>
        </w:rPr>
        <w:t xml:space="preserve">。 三季度，人民银行清算总中心系统共处理支付业务 </w:t>
      </w:r>
      <w:r>
        <w:rPr>
          <w:rFonts w:hint="default" w:ascii="Times New Roman" w:hAnsi="Times New Roman" w:eastAsia="宋体" w:cs="Times New Roman"/>
          <w:snapToGrid w:val="0"/>
          <w:color w:val="000000"/>
          <w:spacing w:val="-6"/>
          <w:kern w:val="0"/>
          <w:sz w:val="20"/>
          <w:szCs w:val="20"/>
          <w:lang w:val="en-US" w:eastAsia="zh-CN" w:bidi="ar"/>
        </w:rPr>
        <w:t xml:space="preserve">54.79 </w:t>
      </w:r>
      <w:r>
        <w:rPr>
          <w:rFonts w:hint="eastAsia" w:ascii="宋体" w:hAnsi="宋体" w:eastAsia="宋体" w:cs="宋体"/>
          <w:snapToGrid w:val="0"/>
          <w:color w:val="000000"/>
          <w:spacing w:val="-6"/>
          <w:kern w:val="0"/>
          <w:sz w:val="20"/>
          <w:szCs w:val="20"/>
          <w:lang w:val="en-US" w:eastAsia="zh-CN" w:bidi="ar"/>
        </w:rPr>
        <w:t xml:space="preserve">亿笔，金额 </w:t>
      </w:r>
      <w:r>
        <w:rPr>
          <w:rFonts w:hint="default" w:ascii="Times New Roman" w:hAnsi="Times New Roman" w:eastAsia="宋体" w:cs="Times New Roman"/>
          <w:snapToGrid w:val="0"/>
          <w:color w:val="000000"/>
          <w:spacing w:val="-6"/>
          <w:kern w:val="0"/>
          <w:sz w:val="20"/>
          <w:szCs w:val="20"/>
          <w:lang w:val="en-US" w:eastAsia="zh-CN" w:bidi="ar"/>
        </w:rPr>
        <w:t xml:space="preserve">2379.52 </w:t>
      </w:r>
      <w:r>
        <w:rPr>
          <w:rFonts w:hint="eastAsia" w:ascii="宋体" w:hAnsi="宋体" w:eastAsia="宋体" w:cs="宋体"/>
          <w:snapToGrid w:val="0"/>
          <w:color w:val="000000"/>
          <w:spacing w:val="-6"/>
          <w:kern w:val="0"/>
          <w:sz w:val="20"/>
          <w:szCs w:val="20"/>
          <w:lang w:val="en-US" w:eastAsia="zh-CN" w:bidi="ar"/>
        </w:rPr>
        <w:t xml:space="preserve">万亿元，同比分别增长 </w:t>
      </w:r>
      <w:r>
        <w:rPr>
          <w:rFonts w:hint="default" w:ascii="Times New Roman" w:hAnsi="Times New Roman" w:eastAsia="宋体" w:cs="Times New Roman"/>
          <w:snapToGrid w:val="0"/>
          <w:color w:val="000000"/>
          <w:spacing w:val="-6"/>
          <w:kern w:val="0"/>
          <w:sz w:val="20"/>
          <w:szCs w:val="20"/>
          <w:lang w:val="en-US" w:eastAsia="zh-CN" w:bidi="ar"/>
        </w:rPr>
        <w:t>0.92%</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9.53%</w:t>
      </w:r>
      <w:r>
        <w:rPr>
          <w:rFonts w:hint="eastAsia" w:ascii="宋体" w:hAnsi="宋体" w:eastAsia="宋体" w:cs="宋体"/>
          <w:snapToGrid w:val="0"/>
          <w:color w:val="000000"/>
          <w:spacing w:val="-6"/>
          <w:kern w:val="0"/>
          <w:sz w:val="20"/>
          <w:szCs w:val="20"/>
          <w:lang w:val="en-US" w:eastAsia="zh-CN" w:bidi="ar"/>
        </w:rPr>
        <w:t xml:space="preserve">，其中，大额实时支付系统处理业务 </w:t>
      </w:r>
      <w:r>
        <w:rPr>
          <w:rFonts w:hint="default" w:ascii="Times New Roman" w:hAnsi="Times New Roman" w:eastAsia="宋体" w:cs="Times New Roman"/>
          <w:snapToGrid w:val="0"/>
          <w:color w:val="000000"/>
          <w:spacing w:val="-6"/>
          <w:kern w:val="0"/>
          <w:sz w:val="20"/>
          <w:szCs w:val="20"/>
          <w:lang w:val="en-US" w:eastAsia="zh-CN" w:bidi="ar"/>
        </w:rPr>
        <w:t xml:space="preserve">9518.17 </w:t>
      </w:r>
      <w:r>
        <w:rPr>
          <w:rFonts w:hint="eastAsia" w:ascii="宋体" w:hAnsi="宋体" w:eastAsia="宋体" w:cs="宋体"/>
          <w:snapToGrid w:val="0"/>
          <w:color w:val="000000"/>
          <w:spacing w:val="-6"/>
          <w:kern w:val="0"/>
          <w:sz w:val="20"/>
          <w:szCs w:val="20"/>
          <w:lang w:val="en-US" w:eastAsia="zh-CN" w:bidi="ar"/>
        </w:rPr>
        <w:t>万笔，同比下降</w:t>
      </w:r>
      <w:r>
        <w:rPr>
          <w:rFonts w:hint="default" w:ascii="Times New Roman" w:hAnsi="Times New Roman" w:eastAsia="宋体" w:cs="Times New Roman"/>
          <w:snapToGrid w:val="0"/>
          <w:color w:val="000000"/>
          <w:spacing w:val="-6"/>
          <w:kern w:val="0"/>
          <w:sz w:val="20"/>
          <w:szCs w:val="20"/>
          <w:lang w:val="en-US" w:eastAsia="zh-CN" w:bidi="ar"/>
        </w:rPr>
        <w:t>10.39%</w:t>
      </w:r>
      <w:r>
        <w:rPr>
          <w:rFonts w:hint="eastAsia" w:ascii="宋体" w:hAnsi="宋体" w:eastAsia="宋体" w:cs="宋体"/>
          <w:snapToGrid w:val="0"/>
          <w:color w:val="000000"/>
          <w:spacing w:val="-6"/>
          <w:kern w:val="0"/>
          <w:sz w:val="20"/>
          <w:szCs w:val="20"/>
          <w:lang w:val="en-US" w:eastAsia="zh-CN" w:bidi="ar"/>
        </w:rPr>
        <w:t xml:space="preserve">，金额 </w:t>
      </w:r>
      <w:r>
        <w:rPr>
          <w:rFonts w:hint="default" w:ascii="Times New Roman" w:hAnsi="Times New Roman" w:eastAsia="宋体" w:cs="Times New Roman"/>
          <w:snapToGrid w:val="0"/>
          <w:color w:val="000000"/>
          <w:spacing w:val="-6"/>
          <w:kern w:val="0"/>
          <w:sz w:val="20"/>
          <w:szCs w:val="20"/>
          <w:lang w:val="en-US" w:eastAsia="zh-CN" w:bidi="ar"/>
        </w:rPr>
        <w:t xml:space="preserve">2254.07 </w:t>
      </w:r>
      <w:r>
        <w:rPr>
          <w:rFonts w:hint="eastAsia" w:ascii="宋体" w:hAnsi="宋体" w:eastAsia="宋体" w:cs="宋体"/>
          <w:snapToGrid w:val="0"/>
          <w:color w:val="000000"/>
          <w:spacing w:val="-6"/>
          <w:kern w:val="0"/>
          <w:sz w:val="20"/>
          <w:szCs w:val="20"/>
          <w:lang w:val="en-US" w:eastAsia="zh-CN" w:bidi="ar"/>
        </w:rPr>
        <w:t xml:space="preserve">万亿元，同比增长 </w:t>
      </w:r>
      <w:r>
        <w:rPr>
          <w:rFonts w:hint="default" w:ascii="Times New Roman" w:hAnsi="Times New Roman" w:eastAsia="宋体" w:cs="Times New Roman"/>
          <w:snapToGrid w:val="0"/>
          <w:color w:val="000000"/>
          <w:spacing w:val="-6"/>
          <w:kern w:val="0"/>
          <w:sz w:val="20"/>
          <w:szCs w:val="20"/>
          <w:lang w:val="en-US" w:eastAsia="zh-CN" w:bidi="ar"/>
        </w:rPr>
        <w:t>9.72%</w:t>
      </w:r>
      <w:r>
        <w:rPr>
          <w:rFonts w:hint="eastAsia" w:ascii="宋体" w:hAnsi="宋体" w:eastAsia="宋体" w:cs="宋体"/>
          <w:snapToGrid w:val="0"/>
          <w:color w:val="000000"/>
          <w:spacing w:val="-6"/>
          <w:kern w:val="0"/>
          <w:sz w:val="20"/>
          <w:szCs w:val="20"/>
          <w:lang w:val="en-US" w:eastAsia="zh-CN" w:bidi="ar"/>
        </w:rPr>
        <w:t xml:space="preserve">；小额批量支付系统处理业务 </w:t>
      </w:r>
      <w:r>
        <w:rPr>
          <w:rFonts w:hint="default" w:ascii="Times New Roman" w:hAnsi="Times New Roman" w:eastAsia="宋体" w:cs="Times New Roman"/>
          <w:snapToGrid w:val="0"/>
          <w:color w:val="000000"/>
          <w:spacing w:val="-6"/>
          <w:kern w:val="0"/>
          <w:sz w:val="20"/>
          <w:szCs w:val="20"/>
          <w:lang w:val="en-US" w:eastAsia="zh-CN" w:bidi="ar"/>
        </w:rPr>
        <w:t xml:space="preserve">11.51 </w:t>
      </w:r>
      <w:r>
        <w:rPr>
          <w:rFonts w:hint="eastAsia" w:ascii="宋体" w:hAnsi="宋体" w:eastAsia="宋体" w:cs="宋体"/>
          <w:snapToGrid w:val="0"/>
          <w:color w:val="000000"/>
          <w:spacing w:val="-6"/>
          <w:kern w:val="0"/>
          <w:sz w:val="20"/>
          <w:szCs w:val="20"/>
          <w:lang w:val="en-US" w:eastAsia="zh-CN" w:bidi="ar"/>
        </w:rPr>
        <w:t xml:space="preserve">亿笔，金额 </w:t>
      </w:r>
      <w:r>
        <w:rPr>
          <w:rFonts w:hint="default" w:ascii="Times New Roman" w:hAnsi="Times New Roman" w:eastAsia="宋体" w:cs="Times New Roman"/>
          <w:snapToGrid w:val="0"/>
          <w:color w:val="000000"/>
          <w:spacing w:val="-6"/>
          <w:kern w:val="0"/>
          <w:sz w:val="20"/>
          <w:szCs w:val="20"/>
          <w:lang w:val="en-US" w:eastAsia="zh-CN" w:bidi="ar"/>
        </w:rPr>
        <w:t xml:space="preserve">46.69 </w:t>
      </w:r>
      <w:r>
        <w:rPr>
          <w:rFonts w:hint="eastAsia" w:ascii="宋体" w:hAnsi="宋体" w:eastAsia="宋体" w:cs="宋体"/>
          <w:snapToGrid w:val="0"/>
          <w:color w:val="000000"/>
          <w:spacing w:val="-6"/>
          <w:kern w:val="0"/>
          <w:sz w:val="20"/>
          <w:szCs w:val="20"/>
          <w:lang w:val="en-US" w:eastAsia="zh-CN" w:bidi="ar"/>
        </w:rPr>
        <w:t xml:space="preserve">万亿元，同比分别增长 </w:t>
      </w:r>
      <w:r>
        <w:rPr>
          <w:rFonts w:hint="default" w:ascii="Times New Roman" w:hAnsi="Times New Roman" w:eastAsia="宋体" w:cs="Times New Roman"/>
          <w:snapToGrid w:val="0"/>
          <w:color w:val="000000"/>
          <w:spacing w:val="-6"/>
          <w:kern w:val="0"/>
          <w:sz w:val="20"/>
          <w:szCs w:val="20"/>
          <w:lang w:val="en-US" w:eastAsia="zh-CN" w:bidi="ar"/>
        </w:rPr>
        <w:t>5.73%</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10.03%</w:t>
      </w:r>
      <w:r>
        <w:rPr>
          <w:rFonts w:hint="eastAsia" w:ascii="宋体" w:hAnsi="宋体" w:eastAsia="宋体" w:cs="宋体"/>
          <w:snapToGrid w:val="0"/>
          <w:color w:val="000000"/>
          <w:spacing w:val="-6"/>
          <w:kern w:val="0"/>
          <w:sz w:val="20"/>
          <w:szCs w:val="20"/>
          <w:lang w:val="en-US" w:eastAsia="zh-CN" w:bidi="ar"/>
        </w:rPr>
        <w:t>；网上支付跨行清算系统处理业务</w:t>
      </w:r>
      <w:r>
        <w:rPr>
          <w:rFonts w:hint="default" w:ascii="Times New Roman" w:hAnsi="Times New Roman" w:eastAsia="宋体" w:cs="Times New Roman"/>
          <w:snapToGrid w:val="0"/>
          <w:color w:val="000000"/>
          <w:spacing w:val="-6"/>
          <w:kern w:val="0"/>
          <w:sz w:val="20"/>
          <w:szCs w:val="20"/>
          <w:lang w:val="en-US" w:eastAsia="zh-CN" w:bidi="ar"/>
        </w:rPr>
        <w:t xml:space="preserve">42.31 </w:t>
      </w:r>
      <w:r>
        <w:rPr>
          <w:rFonts w:hint="eastAsia" w:ascii="宋体" w:hAnsi="宋体" w:eastAsia="宋体" w:cs="宋体"/>
          <w:snapToGrid w:val="0"/>
          <w:color w:val="000000"/>
          <w:spacing w:val="-6"/>
          <w:kern w:val="0"/>
          <w:sz w:val="20"/>
          <w:szCs w:val="20"/>
          <w:lang w:val="en-US" w:eastAsia="zh-CN" w:bidi="ar"/>
        </w:rPr>
        <w:t xml:space="preserve">亿笔，同比下降 </w:t>
      </w:r>
      <w:r>
        <w:rPr>
          <w:rFonts w:hint="default" w:ascii="Times New Roman" w:hAnsi="Times New Roman" w:eastAsia="宋体" w:cs="Times New Roman"/>
          <w:snapToGrid w:val="0"/>
          <w:color w:val="000000"/>
          <w:spacing w:val="-6"/>
          <w:kern w:val="0"/>
          <w:sz w:val="20"/>
          <w:szCs w:val="20"/>
          <w:lang w:val="en-US" w:eastAsia="zh-CN" w:bidi="ar"/>
        </w:rPr>
        <w:t>0.03%</w:t>
      </w:r>
      <w:r>
        <w:rPr>
          <w:rFonts w:hint="eastAsia" w:ascii="宋体" w:hAnsi="宋体" w:eastAsia="宋体" w:cs="宋体"/>
          <w:snapToGrid w:val="0"/>
          <w:color w:val="000000"/>
          <w:spacing w:val="-6"/>
          <w:kern w:val="0"/>
          <w:sz w:val="20"/>
          <w:szCs w:val="20"/>
          <w:lang w:val="en-US" w:eastAsia="zh-CN" w:bidi="ar"/>
        </w:rPr>
        <w:t xml:space="preserve">，金额 </w:t>
      </w:r>
      <w:r>
        <w:rPr>
          <w:rFonts w:hint="default" w:ascii="Times New Roman" w:hAnsi="Times New Roman" w:eastAsia="宋体" w:cs="Times New Roman"/>
          <w:snapToGrid w:val="0"/>
          <w:color w:val="000000"/>
          <w:spacing w:val="-6"/>
          <w:kern w:val="0"/>
          <w:sz w:val="20"/>
          <w:szCs w:val="20"/>
          <w:lang w:val="en-US" w:eastAsia="zh-CN" w:bidi="ar"/>
        </w:rPr>
        <w:t xml:space="preserve">74.66 </w:t>
      </w:r>
      <w:r>
        <w:rPr>
          <w:rFonts w:hint="eastAsia" w:ascii="宋体" w:hAnsi="宋体" w:eastAsia="宋体" w:cs="宋体"/>
          <w:snapToGrid w:val="0"/>
          <w:color w:val="000000"/>
          <w:spacing w:val="-6"/>
          <w:kern w:val="0"/>
          <w:sz w:val="20"/>
          <w:szCs w:val="20"/>
          <w:lang w:val="en-US" w:eastAsia="zh-CN" w:bidi="ar"/>
        </w:rPr>
        <w:t xml:space="preserve">万亿元，同比增长 </w:t>
      </w:r>
      <w:r>
        <w:rPr>
          <w:rFonts w:hint="default" w:ascii="Times New Roman" w:hAnsi="Times New Roman" w:eastAsia="宋体" w:cs="Times New Roman"/>
          <w:snapToGrid w:val="0"/>
          <w:color w:val="000000"/>
          <w:spacing w:val="-6"/>
          <w:kern w:val="0"/>
          <w:sz w:val="20"/>
          <w:szCs w:val="20"/>
          <w:lang w:val="en-US" w:eastAsia="zh-CN" w:bidi="ar"/>
        </w:rPr>
        <w:t>5.38%</w:t>
      </w:r>
      <w:r>
        <w:rPr>
          <w:rFonts w:hint="eastAsia" w:ascii="宋体" w:hAnsi="宋体" w:eastAsia="宋体" w:cs="宋体"/>
          <w:snapToGrid w:val="0"/>
          <w:color w:val="000000"/>
          <w:spacing w:val="-6"/>
          <w:kern w:val="0"/>
          <w:sz w:val="20"/>
          <w:szCs w:val="20"/>
          <w:lang w:val="en-US" w:eastAsia="zh-CN" w:bidi="ar"/>
        </w:rPr>
        <w:t xml:space="preserve">；境内外币支付系统处理业务 </w:t>
      </w:r>
      <w:r>
        <w:rPr>
          <w:rFonts w:hint="default" w:ascii="Times New Roman" w:hAnsi="Times New Roman" w:eastAsia="宋体" w:cs="Times New Roman"/>
          <w:snapToGrid w:val="0"/>
          <w:color w:val="000000"/>
          <w:spacing w:val="-6"/>
          <w:kern w:val="0"/>
          <w:sz w:val="20"/>
          <w:szCs w:val="20"/>
          <w:lang w:val="en-US" w:eastAsia="zh-CN" w:bidi="ar"/>
        </w:rPr>
        <w:t xml:space="preserve">134.46 </w:t>
      </w:r>
      <w:r>
        <w:rPr>
          <w:rFonts w:hint="eastAsia" w:ascii="宋体" w:hAnsi="宋体" w:eastAsia="宋体" w:cs="宋体"/>
          <w:snapToGrid w:val="0"/>
          <w:color w:val="000000"/>
          <w:spacing w:val="-6"/>
          <w:kern w:val="0"/>
          <w:sz w:val="20"/>
          <w:szCs w:val="20"/>
          <w:lang w:val="en-US" w:eastAsia="zh-CN" w:bidi="ar"/>
        </w:rPr>
        <w:t xml:space="preserve">万笔，同比增长 </w:t>
      </w:r>
      <w:r>
        <w:rPr>
          <w:rFonts w:hint="default" w:ascii="Times New Roman" w:hAnsi="Times New Roman" w:eastAsia="宋体" w:cs="Times New Roman"/>
          <w:snapToGrid w:val="0"/>
          <w:color w:val="000000"/>
          <w:spacing w:val="-6"/>
          <w:kern w:val="0"/>
          <w:sz w:val="20"/>
          <w:szCs w:val="20"/>
          <w:lang w:val="en-US" w:eastAsia="zh-CN" w:bidi="ar"/>
        </w:rPr>
        <w:t>2.83%</w:t>
      </w:r>
      <w:r>
        <w:rPr>
          <w:rFonts w:hint="eastAsia" w:ascii="宋体" w:hAnsi="宋体" w:eastAsia="宋体" w:cs="宋体"/>
          <w:snapToGrid w:val="0"/>
          <w:color w:val="000000"/>
          <w:spacing w:val="-6"/>
          <w:kern w:val="0"/>
          <w:sz w:val="20"/>
          <w:szCs w:val="20"/>
          <w:lang w:val="en-US" w:eastAsia="zh-CN" w:bidi="ar"/>
        </w:rPr>
        <w:t xml:space="preserve">，金额 </w:t>
      </w:r>
      <w:r>
        <w:rPr>
          <w:rFonts w:hint="default" w:ascii="Times New Roman" w:hAnsi="Times New Roman" w:eastAsia="宋体" w:cs="Times New Roman"/>
          <w:snapToGrid w:val="0"/>
          <w:color w:val="000000"/>
          <w:spacing w:val="-6"/>
          <w:kern w:val="0"/>
          <w:sz w:val="20"/>
          <w:szCs w:val="20"/>
          <w:lang w:val="en-US" w:eastAsia="zh-CN" w:bidi="ar"/>
        </w:rPr>
        <w:t xml:space="preserve">5707.35 </w:t>
      </w:r>
      <w:r>
        <w:rPr>
          <w:rFonts w:hint="eastAsia" w:ascii="宋体" w:hAnsi="宋体" w:eastAsia="宋体" w:cs="宋体"/>
          <w:snapToGrid w:val="0"/>
          <w:color w:val="000000"/>
          <w:spacing w:val="-6"/>
          <w:kern w:val="0"/>
          <w:sz w:val="20"/>
          <w:szCs w:val="20"/>
          <w:lang w:val="en-US" w:eastAsia="zh-CN" w:bidi="ar"/>
        </w:rPr>
        <w:t xml:space="preserve">亿美元，同比下降 </w:t>
      </w:r>
      <w:r>
        <w:rPr>
          <w:rFonts w:hint="default" w:ascii="Times New Roman" w:hAnsi="Times New Roman" w:eastAsia="宋体" w:cs="Times New Roman"/>
          <w:snapToGrid w:val="0"/>
          <w:color w:val="000000"/>
          <w:spacing w:val="-6"/>
          <w:kern w:val="0"/>
          <w:sz w:val="20"/>
          <w:szCs w:val="20"/>
          <w:lang w:val="en-US" w:eastAsia="zh-CN" w:bidi="ar"/>
        </w:rPr>
        <w:t>14.63%</w:t>
      </w:r>
      <w:r>
        <w:rPr>
          <w:rFonts w:hint="eastAsia" w:ascii="宋体" w:hAnsi="宋体" w:eastAsia="宋体" w:cs="宋体"/>
          <w:snapToGrid w:val="0"/>
          <w:color w:val="000000"/>
          <w:spacing w:val="-6"/>
          <w:kern w:val="0"/>
          <w:sz w:val="20"/>
          <w:szCs w:val="20"/>
          <w:lang w:val="en-US" w:eastAsia="zh-CN" w:bidi="ar"/>
        </w:rPr>
        <w:t xml:space="preserve">。 </w:t>
      </w:r>
    </w:p>
    <w:p w14:paraId="122F06B0">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 xml:space="preserve">在其他支付系统中，银行行内业务系统三季度处理业务 </w:t>
      </w:r>
      <w:r>
        <w:rPr>
          <w:rFonts w:hint="default" w:ascii="Times New Roman" w:hAnsi="Times New Roman" w:eastAsia="宋体" w:cs="Times New Roman"/>
          <w:snapToGrid w:val="0"/>
          <w:color w:val="000000"/>
          <w:spacing w:val="-6"/>
          <w:kern w:val="0"/>
          <w:sz w:val="20"/>
          <w:szCs w:val="20"/>
          <w:lang w:val="en-US" w:eastAsia="zh-CN" w:bidi="ar"/>
        </w:rPr>
        <w:t xml:space="preserve">54.42 </w:t>
      </w:r>
      <w:r>
        <w:rPr>
          <w:rFonts w:hint="eastAsia" w:ascii="宋体" w:hAnsi="宋体" w:eastAsia="宋体" w:cs="宋体"/>
          <w:snapToGrid w:val="0"/>
          <w:color w:val="000000"/>
          <w:spacing w:val="-6"/>
          <w:kern w:val="0"/>
          <w:sz w:val="20"/>
          <w:szCs w:val="20"/>
          <w:lang w:val="en-US" w:eastAsia="zh-CN" w:bidi="ar"/>
        </w:rPr>
        <w:t xml:space="preserve">亿笔，同比增长 </w:t>
      </w:r>
      <w:r>
        <w:rPr>
          <w:rFonts w:hint="default" w:ascii="Times New Roman" w:hAnsi="Times New Roman" w:eastAsia="宋体" w:cs="Times New Roman"/>
          <w:snapToGrid w:val="0"/>
          <w:color w:val="000000"/>
          <w:spacing w:val="-6"/>
          <w:kern w:val="0"/>
          <w:sz w:val="20"/>
          <w:szCs w:val="20"/>
          <w:lang w:val="en-US" w:eastAsia="zh-CN" w:bidi="ar"/>
        </w:rPr>
        <w:t>11.14%</w:t>
      </w:r>
      <w:r>
        <w:rPr>
          <w:rFonts w:hint="eastAsia" w:ascii="宋体" w:hAnsi="宋体" w:eastAsia="宋体" w:cs="宋体"/>
          <w:snapToGrid w:val="0"/>
          <w:color w:val="000000"/>
          <w:spacing w:val="-6"/>
          <w:kern w:val="0"/>
          <w:sz w:val="20"/>
          <w:szCs w:val="20"/>
          <w:lang w:val="en-US" w:eastAsia="zh-CN" w:bidi="ar"/>
        </w:rPr>
        <w:t xml:space="preserve">，金额 </w:t>
      </w:r>
      <w:r>
        <w:rPr>
          <w:rFonts w:hint="default" w:ascii="Times New Roman" w:hAnsi="Times New Roman" w:eastAsia="宋体" w:cs="Times New Roman"/>
          <w:snapToGrid w:val="0"/>
          <w:color w:val="000000"/>
          <w:spacing w:val="-6"/>
          <w:kern w:val="0"/>
          <w:sz w:val="20"/>
          <w:szCs w:val="20"/>
          <w:lang w:val="en-US" w:eastAsia="zh-CN" w:bidi="ar"/>
        </w:rPr>
        <w:t xml:space="preserve">539.56 </w:t>
      </w:r>
      <w:r>
        <w:rPr>
          <w:rFonts w:hint="eastAsia" w:ascii="宋体" w:hAnsi="宋体" w:eastAsia="宋体" w:cs="宋体"/>
          <w:snapToGrid w:val="0"/>
          <w:color w:val="000000"/>
          <w:spacing w:val="-6"/>
          <w:kern w:val="0"/>
          <w:sz w:val="20"/>
          <w:szCs w:val="20"/>
          <w:lang w:val="en-US" w:eastAsia="zh-CN" w:bidi="ar"/>
        </w:rPr>
        <w:t xml:space="preserve">万亿元，同比下降 </w:t>
      </w:r>
      <w:r>
        <w:rPr>
          <w:rFonts w:hint="default" w:ascii="Times New Roman" w:hAnsi="Times New Roman" w:eastAsia="宋体" w:cs="Times New Roman"/>
          <w:snapToGrid w:val="0"/>
          <w:color w:val="000000"/>
          <w:spacing w:val="-6"/>
          <w:kern w:val="0"/>
          <w:sz w:val="20"/>
          <w:szCs w:val="20"/>
          <w:lang w:val="en-US" w:eastAsia="zh-CN" w:bidi="ar"/>
        </w:rPr>
        <w:t>4.10%</w:t>
      </w:r>
      <w:r>
        <w:rPr>
          <w:rFonts w:hint="eastAsia" w:ascii="宋体" w:hAnsi="宋体" w:eastAsia="宋体" w:cs="宋体"/>
          <w:snapToGrid w:val="0"/>
          <w:color w:val="000000"/>
          <w:spacing w:val="-6"/>
          <w:kern w:val="0"/>
          <w:sz w:val="20"/>
          <w:szCs w:val="20"/>
          <w:lang w:val="en-US" w:eastAsia="zh-CN" w:bidi="ar"/>
        </w:rPr>
        <w:t xml:space="preserve">；银联跨行支付系统处理业务 </w:t>
      </w:r>
      <w:r>
        <w:rPr>
          <w:rFonts w:hint="default" w:ascii="Times New Roman" w:hAnsi="Times New Roman" w:eastAsia="宋体" w:cs="Times New Roman"/>
          <w:snapToGrid w:val="0"/>
          <w:color w:val="000000"/>
          <w:spacing w:val="-6"/>
          <w:kern w:val="0"/>
          <w:sz w:val="20"/>
          <w:szCs w:val="20"/>
          <w:lang w:val="en-US" w:eastAsia="zh-CN" w:bidi="ar"/>
        </w:rPr>
        <w:t xml:space="preserve">837.93 </w:t>
      </w:r>
      <w:r>
        <w:rPr>
          <w:rFonts w:hint="eastAsia" w:ascii="宋体" w:hAnsi="宋体" w:eastAsia="宋体" w:cs="宋体"/>
          <w:snapToGrid w:val="0"/>
          <w:color w:val="000000"/>
          <w:spacing w:val="-6"/>
          <w:kern w:val="0"/>
          <w:sz w:val="20"/>
          <w:szCs w:val="20"/>
          <w:lang w:val="en-US" w:eastAsia="zh-CN" w:bidi="ar"/>
        </w:rPr>
        <w:t xml:space="preserve">亿笔，金额 </w:t>
      </w:r>
      <w:r>
        <w:rPr>
          <w:rFonts w:hint="default" w:ascii="Times New Roman" w:hAnsi="Times New Roman" w:eastAsia="宋体" w:cs="Times New Roman"/>
          <w:snapToGrid w:val="0"/>
          <w:color w:val="000000"/>
          <w:spacing w:val="-6"/>
          <w:kern w:val="0"/>
          <w:sz w:val="20"/>
          <w:szCs w:val="20"/>
          <w:lang w:val="en-US" w:eastAsia="zh-CN" w:bidi="ar"/>
        </w:rPr>
        <w:t>70.27</w:t>
      </w:r>
      <w:r>
        <w:rPr>
          <w:rFonts w:hint="eastAsia" w:ascii="宋体" w:hAnsi="宋体" w:eastAsia="宋体" w:cs="宋体"/>
          <w:snapToGrid w:val="0"/>
          <w:color w:val="000000"/>
          <w:spacing w:val="-6"/>
          <w:kern w:val="0"/>
          <w:sz w:val="20"/>
          <w:szCs w:val="20"/>
          <w:lang w:val="en-US" w:eastAsia="zh-CN" w:bidi="ar"/>
        </w:rPr>
        <w:t xml:space="preserve">万亿元，同比分别增长 </w:t>
      </w:r>
      <w:r>
        <w:rPr>
          <w:rFonts w:hint="default" w:ascii="Times New Roman" w:hAnsi="Times New Roman" w:eastAsia="宋体" w:cs="Times New Roman"/>
          <w:snapToGrid w:val="0"/>
          <w:color w:val="000000"/>
          <w:spacing w:val="-6"/>
          <w:kern w:val="0"/>
          <w:sz w:val="20"/>
          <w:szCs w:val="20"/>
          <w:lang w:val="en-US" w:eastAsia="zh-CN" w:bidi="ar"/>
        </w:rPr>
        <w:t>21.37%</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8.70%</w:t>
      </w:r>
      <w:r>
        <w:rPr>
          <w:rFonts w:hint="eastAsia" w:ascii="宋体" w:hAnsi="宋体" w:eastAsia="宋体" w:cs="宋体"/>
          <w:snapToGrid w:val="0"/>
          <w:color w:val="000000"/>
          <w:spacing w:val="-6"/>
          <w:kern w:val="0"/>
          <w:sz w:val="20"/>
          <w:szCs w:val="20"/>
          <w:lang w:val="en-US" w:eastAsia="zh-CN" w:bidi="ar"/>
        </w:rPr>
        <w:t xml:space="preserve">；城银清算支付清算系统处理业务 </w:t>
      </w:r>
      <w:r>
        <w:rPr>
          <w:rFonts w:hint="default" w:ascii="Times New Roman" w:hAnsi="Times New Roman" w:eastAsia="宋体" w:cs="Times New Roman"/>
          <w:snapToGrid w:val="0"/>
          <w:color w:val="000000"/>
          <w:spacing w:val="-6"/>
          <w:kern w:val="0"/>
          <w:sz w:val="20"/>
          <w:szCs w:val="20"/>
          <w:lang w:val="en-US" w:eastAsia="zh-CN" w:bidi="ar"/>
        </w:rPr>
        <w:t xml:space="preserve">1056.40 </w:t>
      </w:r>
      <w:r>
        <w:rPr>
          <w:rFonts w:hint="eastAsia" w:ascii="宋体" w:hAnsi="宋体" w:eastAsia="宋体" w:cs="宋体"/>
          <w:snapToGrid w:val="0"/>
          <w:color w:val="000000"/>
          <w:spacing w:val="-6"/>
          <w:kern w:val="0"/>
          <w:sz w:val="20"/>
          <w:szCs w:val="20"/>
          <w:lang w:val="en-US" w:eastAsia="zh-CN" w:bidi="ar"/>
        </w:rPr>
        <w:t xml:space="preserve">万笔，金额 </w:t>
      </w:r>
      <w:r>
        <w:rPr>
          <w:rFonts w:hint="default" w:ascii="Times New Roman" w:hAnsi="Times New Roman" w:eastAsia="宋体" w:cs="Times New Roman"/>
          <w:snapToGrid w:val="0"/>
          <w:color w:val="000000"/>
          <w:spacing w:val="-6"/>
          <w:kern w:val="0"/>
          <w:sz w:val="20"/>
          <w:szCs w:val="20"/>
          <w:lang w:val="en-US" w:eastAsia="zh-CN" w:bidi="ar"/>
        </w:rPr>
        <w:t xml:space="preserve">9744.45 </w:t>
      </w:r>
      <w:r>
        <w:rPr>
          <w:rFonts w:hint="eastAsia" w:ascii="宋体" w:hAnsi="宋体" w:eastAsia="宋体" w:cs="宋体"/>
          <w:snapToGrid w:val="0"/>
          <w:color w:val="000000"/>
          <w:spacing w:val="-6"/>
          <w:kern w:val="0"/>
          <w:sz w:val="20"/>
          <w:szCs w:val="20"/>
          <w:lang w:val="en-US" w:eastAsia="zh-CN" w:bidi="ar"/>
        </w:rPr>
        <w:t xml:space="preserve">亿元，同比分别增长 </w:t>
      </w:r>
      <w:r>
        <w:rPr>
          <w:rFonts w:hint="default" w:ascii="Times New Roman" w:hAnsi="Times New Roman" w:eastAsia="宋体" w:cs="Times New Roman"/>
          <w:snapToGrid w:val="0"/>
          <w:color w:val="000000"/>
          <w:spacing w:val="-6"/>
          <w:kern w:val="0"/>
          <w:sz w:val="20"/>
          <w:szCs w:val="20"/>
          <w:lang w:val="en-US" w:eastAsia="zh-CN" w:bidi="ar"/>
        </w:rPr>
        <w:t>34.61%</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36.31%</w:t>
      </w:r>
      <w:r>
        <w:rPr>
          <w:rFonts w:hint="eastAsia" w:ascii="宋体" w:hAnsi="宋体" w:eastAsia="宋体" w:cs="宋体"/>
          <w:snapToGrid w:val="0"/>
          <w:color w:val="000000"/>
          <w:spacing w:val="-6"/>
          <w:kern w:val="0"/>
          <w:sz w:val="20"/>
          <w:szCs w:val="20"/>
          <w:lang w:val="en-US" w:eastAsia="zh-CN" w:bidi="ar"/>
        </w:rPr>
        <w:t xml:space="preserve">；农信银支付清算系统处理业务 </w:t>
      </w:r>
      <w:r>
        <w:rPr>
          <w:rFonts w:hint="default" w:ascii="Times New Roman" w:hAnsi="Times New Roman" w:eastAsia="宋体" w:cs="Times New Roman"/>
          <w:snapToGrid w:val="0"/>
          <w:color w:val="000000"/>
          <w:spacing w:val="-6"/>
          <w:kern w:val="0"/>
          <w:sz w:val="20"/>
          <w:szCs w:val="20"/>
          <w:lang w:val="en-US" w:eastAsia="zh-CN" w:bidi="ar"/>
        </w:rPr>
        <w:t xml:space="preserve">7.41 </w:t>
      </w:r>
      <w:r>
        <w:rPr>
          <w:rFonts w:hint="eastAsia" w:ascii="宋体" w:hAnsi="宋体" w:eastAsia="宋体" w:cs="宋体"/>
          <w:snapToGrid w:val="0"/>
          <w:color w:val="000000"/>
          <w:spacing w:val="-6"/>
          <w:kern w:val="0"/>
          <w:sz w:val="20"/>
          <w:szCs w:val="20"/>
          <w:lang w:val="en-US" w:eastAsia="zh-CN" w:bidi="ar"/>
        </w:rPr>
        <w:t xml:space="preserve">亿笔，金额 </w:t>
      </w:r>
      <w:r>
        <w:rPr>
          <w:rFonts w:hint="default" w:ascii="Times New Roman" w:hAnsi="Times New Roman" w:eastAsia="宋体" w:cs="Times New Roman"/>
          <w:snapToGrid w:val="0"/>
          <w:color w:val="000000"/>
          <w:spacing w:val="-6"/>
          <w:kern w:val="0"/>
          <w:sz w:val="20"/>
          <w:szCs w:val="20"/>
          <w:lang w:val="en-US" w:eastAsia="zh-CN" w:bidi="ar"/>
        </w:rPr>
        <w:t xml:space="preserve">7162.13 </w:t>
      </w:r>
      <w:r>
        <w:rPr>
          <w:rFonts w:hint="eastAsia" w:ascii="宋体" w:hAnsi="宋体" w:eastAsia="宋体" w:cs="宋体"/>
          <w:snapToGrid w:val="0"/>
          <w:color w:val="000000"/>
          <w:spacing w:val="-6"/>
          <w:kern w:val="0"/>
          <w:sz w:val="20"/>
          <w:szCs w:val="20"/>
          <w:lang w:val="en-US" w:eastAsia="zh-CN" w:bidi="ar"/>
        </w:rPr>
        <w:t xml:space="preserve">亿元，同比分别下降 </w:t>
      </w:r>
      <w:r>
        <w:rPr>
          <w:rFonts w:hint="default" w:ascii="Times New Roman" w:hAnsi="Times New Roman" w:eastAsia="宋体" w:cs="Times New Roman"/>
          <w:snapToGrid w:val="0"/>
          <w:color w:val="000000"/>
          <w:spacing w:val="-6"/>
          <w:kern w:val="0"/>
          <w:sz w:val="20"/>
          <w:szCs w:val="20"/>
          <w:lang w:val="en-US" w:eastAsia="zh-CN" w:bidi="ar"/>
        </w:rPr>
        <w:t>39.98%</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13.55%</w:t>
      </w:r>
      <w:r>
        <w:rPr>
          <w:rFonts w:hint="eastAsia" w:ascii="宋体" w:hAnsi="宋体" w:eastAsia="宋体" w:cs="宋体"/>
          <w:snapToGrid w:val="0"/>
          <w:color w:val="000000"/>
          <w:spacing w:val="-6"/>
          <w:kern w:val="0"/>
          <w:sz w:val="20"/>
          <w:szCs w:val="20"/>
          <w:lang w:val="en-US" w:eastAsia="zh-CN" w:bidi="ar"/>
        </w:rPr>
        <w:t>；人民币跨境支付系统处理业务</w:t>
      </w:r>
      <w:r>
        <w:rPr>
          <w:rFonts w:hint="default" w:ascii="Times New Roman" w:hAnsi="Times New Roman" w:eastAsia="宋体" w:cs="Times New Roman"/>
          <w:snapToGrid w:val="0"/>
          <w:color w:val="000000"/>
          <w:spacing w:val="-6"/>
          <w:kern w:val="0"/>
          <w:sz w:val="20"/>
          <w:szCs w:val="20"/>
          <w:lang w:val="en-US" w:eastAsia="zh-CN" w:bidi="ar"/>
        </w:rPr>
        <w:t xml:space="preserve">176.43 </w:t>
      </w:r>
      <w:r>
        <w:rPr>
          <w:rFonts w:hint="eastAsia" w:ascii="宋体" w:hAnsi="宋体" w:eastAsia="宋体" w:cs="宋体"/>
          <w:snapToGrid w:val="0"/>
          <w:color w:val="000000"/>
          <w:spacing w:val="-6"/>
          <w:kern w:val="0"/>
          <w:sz w:val="20"/>
          <w:szCs w:val="20"/>
          <w:lang w:val="en-US" w:eastAsia="zh-CN" w:bidi="ar"/>
        </w:rPr>
        <w:t xml:space="preserve">万笔，金额 </w:t>
      </w:r>
      <w:r>
        <w:rPr>
          <w:rFonts w:hint="default" w:ascii="Times New Roman" w:hAnsi="Times New Roman" w:eastAsia="宋体" w:cs="Times New Roman"/>
          <w:snapToGrid w:val="0"/>
          <w:color w:val="000000"/>
          <w:spacing w:val="-6"/>
          <w:kern w:val="0"/>
          <w:sz w:val="20"/>
          <w:szCs w:val="20"/>
          <w:lang w:val="en-US" w:eastAsia="zh-CN" w:bidi="ar"/>
        </w:rPr>
        <w:t xml:space="preserve">33.42 </w:t>
      </w:r>
      <w:r>
        <w:rPr>
          <w:rFonts w:hint="eastAsia" w:ascii="宋体" w:hAnsi="宋体" w:eastAsia="宋体" w:cs="宋体"/>
          <w:snapToGrid w:val="0"/>
          <w:color w:val="000000"/>
          <w:spacing w:val="-6"/>
          <w:kern w:val="0"/>
          <w:sz w:val="20"/>
          <w:szCs w:val="20"/>
          <w:lang w:val="en-US" w:eastAsia="zh-CN" w:bidi="ar"/>
        </w:rPr>
        <w:t xml:space="preserve">万亿元，同比分别增长 </w:t>
      </w:r>
      <w:r>
        <w:rPr>
          <w:rFonts w:hint="default" w:ascii="Times New Roman" w:hAnsi="Times New Roman" w:eastAsia="宋体" w:cs="Times New Roman"/>
          <w:snapToGrid w:val="0"/>
          <w:color w:val="000000"/>
          <w:spacing w:val="-6"/>
          <w:kern w:val="0"/>
          <w:sz w:val="20"/>
          <w:szCs w:val="20"/>
          <w:lang w:val="en-US" w:eastAsia="zh-CN" w:bidi="ar"/>
        </w:rPr>
        <w:t>43.23%</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31.41%</w:t>
      </w:r>
      <w:r>
        <w:rPr>
          <w:rFonts w:hint="eastAsia" w:ascii="宋体" w:hAnsi="宋体" w:eastAsia="宋体" w:cs="宋体"/>
          <w:snapToGrid w:val="0"/>
          <w:color w:val="000000"/>
          <w:spacing w:val="-6"/>
          <w:kern w:val="0"/>
          <w:sz w:val="20"/>
          <w:szCs w:val="20"/>
          <w:lang w:val="en-US" w:eastAsia="zh-CN" w:bidi="ar"/>
        </w:rPr>
        <w:t xml:space="preserve">；网联清算平台处理业务 </w:t>
      </w:r>
      <w:r>
        <w:rPr>
          <w:rFonts w:hint="default" w:ascii="Times New Roman" w:hAnsi="Times New Roman" w:eastAsia="宋体" w:cs="Times New Roman"/>
          <w:snapToGrid w:val="0"/>
          <w:color w:val="000000"/>
          <w:spacing w:val="-6"/>
          <w:kern w:val="0"/>
          <w:sz w:val="20"/>
          <w:szCs w:val="20"/>
          <w:lang w:val="en-US" w:eastAsia="zh-CN" w:bidi="ar"/>
        </w:rPr>
        <w:t xml:space="preserve">2404.21 </w:t>
      </w:r>
      <w:r>
        <w:rPr>
          <w:rFonts w:hint="eastAsia" w:ascii="宋体" w:hAnsi="宋体" w:eastAsia="宋体" w:cs="宋体"/>
          <w:snapToGrid w:val="0"/>
          <w:color w:val="000000"/>
          <w:spacing w:val="-6"/>
          <w:kern w:val="0"/>
          <w:sz w:val="20"/>
          <w:szCs w:val="20"/>
          <w:lang w:val="en-US" w:eastAsia="zh-CN" w:bidi="ar"/>
        </w:rPr>
        <w:t xml:space="preserve">亿笔，金额 </w:t>
      </w:r>
      <w:r>
        <w:rPr>
          <w:rFonts w:hint="default" w:ascii="Times New Roman" w:hAnsi="Times New Roman" w:eastAsia="宋体" w:cs="Times New Roman"/>
          <w:snapToGrid w:val="0"/>
          <w:color w:val="000000"/>
          <w:spacing w:val="-6"/>
          <w:kern w:val="0"/>
          <w:sz w:val="20"/>
          <w:szCs w:val="20"/>
          <w:lang w:val="en-US" w:eastAsia="zh-CN" w:bidi="ar"/>
        </w:rPr>
        <w:t xml:space="preserve">126.92 </w:t>
      </w:r>
      <w:r>
        <w:rPr>
          <w:rFonts w:hint="eastAsia" w:ascii="宋体" w:hAnsi="宋体" w:eastAsia="宋体" w:cs="宋体"/>
          <w:snapToGrid w:val="0"/>
          <w:color w:val="000000"/>
          <w:spacing w:val="-6"/>
          <w:kern w:val="0"/>
          <w:sz w:val="20"/>
          <w:szCs w:val="20"/>
          <w:lang w:val="en-US" w:eastAsia="zh-CN" w:bidi="ar"/>
        </w:rPr>
        <w:t xml:space="preserve">万亿元，同比分别增长 </w:t>
      </w:r>
      <w:r>
        <w:rPr>
          <w:rFonts w:hint="default" w:ascii="Times New Roman" w:hAnsi="Times New Roman" w:eastAsia="宋体" w:cs="Times New Roman"/>
          <w:snapToGrid w:val="0"/>
          <w:color w:val="000000"/>
          <w:spacing w:val="-6"/>
          <w:kern w:val="0"/>
          <w:sz w:val="20"/>
          <w:szCs w:val="20"/>
          <w:lang w:val="en-US" w:eastAsia="zh-CN" w:bidi="ar"/>
        </w:rPr>
        <w:t>10.42%</w:t>
      </w:r>
      <w:r>
        <w:rPr>
          <w:rFonts w:hint="eastAsia" w:ascii="宋体" w:hAnsi="宋体" w:eastAsia="宋体" w:cs="宋体"/>
          <w:snapToGrid w:val="0"/>
          <w:color w:val="000000"/>
          <w:spacing w:val="-6"/>
          <w:kern w:val="0"/>
          <w:sz w:val="20"/>
          <w:szCs w:val="20"/>
          <w:lang w:val="en-US" w:eastAsia="zh-CN" w:bidi="ar"/>
        </w:rPr>
        <w:t xml:space="preserve">和 </w:t>
      </w:r>
      <w:r>
        <w:rPr>
          <w:rFonts w:hint="default" w:ascii="Times New Roman" w:hAnsi="Times New Roman" w:eastAsia="宋体" w:cs="Times New Roman"/>
          <w:snapToGrid w:val="0"/>
          <w:color w:val="000000"/>
          <w:spacing w:val="-6"/>
          <w:kern w:val="0"/>
          <w:sz w:val="20"/>
          <w:szCs w:val="20"/>
          <w:lang w:val="en-US" w:eastAsia="zh-CN" w:bidi="ar"/>
        </w:rPr>
        <w:t>6.28%</w:t>
      </w:r>
      <w:r>
        <w:rPr>
          <w:rFonts w:hint="eastAsia" w:ascii="宋体" w:hAnsi="宋体" w:eastAsia="宋体" w:cs="宋体"/>
          <w:snapToGrid w:val="0"/>
          <w:color w:val="000000"/>
          <w:spacing w:val="-6"/>
          <w:kern w:val="0"/>
          <w:sz w:val="20"/>
          <w:szCs w:val="20"/>
          <w:lang w:val="en-US" w:eastAsia="zh-CN" w:bidi="ar"/>
        </w:rPr>
        <w:t xml:space="preserve">。 </w:t>
      </w:r>
    </w:p>
    <w:p w14:paraId="69D154BE">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126.2023 </w:t>
      </w:r>
      <w:r>
        <w:rPr>
          <w:rFonts w:hint="eastAsia" w:ascii="宋体" w:hAnsi="宋体" w:eastAsia="宋体" w:cs="宋体"/>
          <w:snapToGrid w:val="0"/>
          <w:color w:val="000000"/>
          <w:spacing w:val="-6"/>
          <w:kern w:val="0"/>
          <w:sz w:val="20"/>
          <w:szCs w:val="20"/>
          <w:lang w:val="en-US" w:eastAsia="zh-CN" w:bidi="ar"/>
        </w:rPr>
        <w:t xml:space="preserve">年三季度，支付系统平均每笔支付业务金额比上年同期： </w:t>
      </w:r>
    </w:p>
    <w:p w14:paraId="7673DBB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上升了 </w:t>
      </w:r>
      <w:r>
        <w:rPr>
          <w:rFonts w:hint="default" w:ascii="Times New Roman" w:hAnsi="Times New Roman" w:eastAsia="宋体" w:cs="Times New Roman"/>
          <w:snapToGrid w:val="0"/>
          <w:color w:val="000000"/>
          <w:spacing w:val="-6"/>
          <w:kern w:val="0"/>
          <w:sz w:val="20"/>
          <w:szCs w:val="20"/>
          <w:lang w:val="en-US" w:eastAsia="zh-CN" w:bidi="ar"/>
        </w:rPr>
        <w:t xml:space="preserve">1000 </w:t>
      </w:r>
      <w:r>
        <w:rPr>
          <w:rFonts w:hint="eastAsia" w:ascii="宋体" w:hAnsi="宋体" w:eastAsia="宋体" w:cs="宋体"/>
          <w:snapToGrid w:val="0"/>
          <w:color w:val="000000"/>
          <w:spacing w:val="-6"/>
          <w:kern w:val="0"/>
          <w:sz w:val="20"/>
          <w:szCs w:val="20"/>
          <w:lang w:val="en-US" w:eastAsia="zh-CN" w:bidi="ar"/>
        </w:rPr>
        <w:t xml:space="preserve">元以上 </w:t>
      </w:r>
    </w:p>
    <w:p w14:paraId="5C02D8B5">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上升了不到 </w:t>
      </w:r>
      <w:r>
        <w:rPr>
          <w:rFonts w:hint="default" w:ascii="Times New Roman" w:hAnsi="Times New Roman" w:eastAsia="宋体" w:cs="Times New Roman"/>
          <w:snapToGrid w:val="0"/>
          <w:color w:val="000000"/>
          <w:spacing w:val="-6"/>
          <w:kern w:val="0"/>
          <w:sz w:val="20"/>
          <w:szCs w:val="20"/>
          <w:lang w:val="en-US" w:eastAsia="zh-CN" w:bidi="ar"/>
        </w:rPr>
        <w:t xml:space="preserve">1000 </w:t>
      </w:r>
      <w:r>
        <w:rPr>
          <w:rFonts w:hint="eastAsia" w:ascii="宋体" w:hAnsi="宋体" w:eastAsia="宋体" w:cs="宋体"/>
          <w:snapToGrid w:val="0"/>
          <w:color w:val="000000"/>
          <w:spacing w:val="-6"/>
          <w:kern w:val="0"/>
          <w:sz w:val="20"/>
          <w:szCs w:val="20"/>
          <w:lang w:val="en-US" w:eastAsia="zh-CN" w:bidi="ar"/>
        </w:rPr>
        <w:t xml:space="preserve">元 </w:t>
      </w:r>
    </w:p>
    <w:p w14:paraId="0B723C1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下降了 </w:t>
      </w:r>
      <w:r>
        <w:rPr>
          <w:rFonts w:hint="default" w:ascii="Times New Roman" w:hAnsi="Times New Roman" w:eastAsia="宋体" w:cs="Times New Roman"/>
          <w:snapToGrid w:val="0"/>
          <w:color w:val="000000"/>
          <w:spacing w:val="-6"/>
          <w:kern w:val="0"/>
          <w:sz w:val="20"/>
          <w:szCs w:val="20"/>
          <w:lang w:val="en-US" w:eastAsia="zh-CN" w:bidi="ar"/>
        </w:rPr>
        <w:t xml:space="preserve">1000 </w:t>
      </w:r>
      <w:r>
        <w:rPr>
          <w:rFonts w:hint="eastAsia" w:ascii="宋体" w:hAnsi="宋体" w:eastAsia="宋体" w:cs="宋体"/>
          <w:snapToGrid w:val="0"/>
          <w:color w:val="000000"/>
          <w:spacing w:val="-6"/>
          <w:kern w:val="0"/>
          <w:sz w:val="20"/>
          <w:szCs w:val="20"/>
          <w:lang w:val="en-US" w:eastAsia="zh-CN" w:bidi="ar"/>
        </w:rPr>
        <w:t xml:space="preserve">元以上 </w:t>
      </w:r>
    </w:p>
    <w:p w14:paraId="1CC0253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下降了不到 </w:t>
      </w:r>
      <w:r>
        <w:rPr>
          <w:rFonts w:hint="default" w:ascii="Times New Roman" w:hAnsi="Times New Roman" w:eastAsia="宋体" w:cs="Times New Roman"/>
          <w:snapToGrid w:val="0"/>
          <w:color w:val="000000"/>
          <w:spacing w:val="-6"/>
          <w:kern w:val="0"/>
          <w:sz w:val="20"/>
          <w:szCs w:val="20"/>
          <w:lang w:val="en-US" w:eastAsia="zh-CN" w:bidi="ar"/>
        </w:rPr>
        <w:t xml:space="preserve">1000 </w:t>
      </w:r>
      <w:r>
        <w:rPr>
          <w:rFonts w:hint="eastAsia" w:ascii="宋体" w:hAnsi="宋体" w:eastAsia="宋体" w:cs="宋体"/>
          <w:snapToGrid w:val="0"/>
          <w:color w:val="000000"/>
          <w:spacing w:val="-6"/>
          <w:kern w:val="0"/>
          <w:sz w:val="20"/>
          <w:szCs w:val="20"/>
          <w:lang w:val="en-US" w:eastAsia="zh-CN" w:bidi="ar"/>
        </w:rPr>
        <w:t xml:space="preserve">元 </w:t>
      </w:r>
    </w:p>
    <w:p w14:paraId="03186A69">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7B17F1D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127.2022 </w:t>
      </w:r>
      <w:r>
        <w:rPr>
          <w:rFonts w:hint="eastAsia" w:ascii="宋体" w:hAnsi="宋体" w:eastAsia="宋体" w:cs="宋体"/>
          <w:snapToGrid w:val="0"/>
          <w:color w:val="000000"/>
          <w:spacing w:val="-6"/>
          <w:kern w:val="0"/>
          <w:sz w:val="20"/>
          <w:szCs w:val="20"/>
          <w:lang w:val="en-US" w:eastAsia="zh-CN" w:bidi="ar"/>
        </w:rPr>
        <w:t xml:space="preserve">年三季度，人民银行清算总中心系统境内外币支付系统处理业务日均处理金额在以下哪个范围内？ </w:t>
      </w:r>
    </w:p>
    <w:p w14:paraId="5EF1055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超过 </w:t>
      </w:r>
      <w:r>
        <w:rPr>
          <w:rFonts w:hint="default" w:ascii="Times New Roman" w:hAnsi="Times New Roman" w:eastAsia="宋体" w:cs="Times New Roman"/>
          <w:snapToGrid w:val="0"/>
          <w:color w:val="000000"/>
          <w:spacing w:val="-6"/>
          <w:kern w:val="0"/>
          <w:sz w:val="20"/>
          <w:szCs w:val="20"/>
          <w:lang w:val="en-US" w:eastAsia="zh-CN" w:bidi="ar"/>
        </w:rPr>
        <w:t xml:space="preserve">80 </w:t>
      </w:r>
      <w:r>
        <w:rPr>
          <w:rFonts w:hint="eastAsia" w:ascii="宋体" w:hAnsi="宋体" w:eastAsia="宋体" w:cs="宋体"/>
          <w:snapToGrid w:val="0"/>
          <w:color w:val="000000"/>
          <w:spacing w:val="-6"/>
          <w:kern w:val="0"/>
          <w:sz w:val="20"/>
          <w:szCs w:val="20"/>
          <w:lang w:val="en-US" w:eastAsia="zh-CN" w:bidi="ar"/>
        </w:rPr>
        <w:t xml:space="preserve">亿美元 </w:t>
      </w:r>
    </w:p>
    <w:p w14:paraId="71419C6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B.70 </w:t>
      </w:r>
      <w:r>
        <w:rPr>
          <w:rFonts w:hint="eastAsia" w:ascii="宋体" w:hAnsi="宋体" w:eastAsia="宋体" w:cs="宋体"/>
          <w:snapToGrid w:val="0"/>
          <w:color w:val="000000"/>
          <w:spacing w:val="-6"/>
          <w:kern w:val="0"/>
          <w:sz w:val="20"/>
          <w:szCs w:val="20"/>
          <w:lang w:val="en-US" w:eastAsia="zh-CN" w:bidi="ar"/>
        </w:rPr>
        <w:t>亿</w:t>
      </w:r>
      <w:r>
        <w:rPr>
          <w:rFonts w:hint="default" w:ascii="Times New Roman" w:hAnsi="Times New Roman" w:eastAsia="宋体" w:cs="Times New Roman"/>
          <w:snapToGrid w:val="0"/>
          <w:color w:val="000000"/>
          <w:spacing w:val="-6"/>
          <w:kern w:val="0"/>
          <w:sz w:val="20"/>
          <w:szCs w:val="20"/>
          <w:lang w:val="en-US" w:eastAsia="zh-CN" w:bidi="ar"/>
        </w:rPr>
        <w:t xml:space="preserve">~80 </w:t>
      </w:r>
      <w:r>
        <w:rPr>
          <w:rFonts w:hint="eastAsia" w:ascii="宋体" w:hAnsi="宋体" w:eastAsia="宋体" w:cs="宋体"/>
          <w:snapToGrid w:val="0"/>
          <w:color w:val="000000"/>
          <w:spacing w:val="-6"/>
          <w:kern w:val="0"/>
          <w:sz w:val="20"/>
          <w:szCs w:val="20"/>
          <w:lang w:val="en-US" w:eastAsia="zh-CN" w:bidi="ar"/>
        </w:rPr>
        <w:t xml:space="preserve">亿美元之间 </w:t>
      </w:r>
    </w:p>
    <w:p w14:paraId="57D320F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C.60 </w:t>
      </w:r>
      <w:r>
        <w:rPr>
          <w:rFonts w:hint="eastAsia" w:ascii="宋体" w:hAnsi="宋体" w:eastAsia="宋体" w:cs="宋体"/>
          <w:snapToGrid w:val="0"/>
          <w:color w:val="000000"/>
          <w:spacing w:val="-6"/>
          <w:kern w:val="0"/>
          <w:sz w:val="20"/>
          <w:szCs w:val="20"/>
          <w:lang w:val="en-US" w:eastAsia="zh-CN" w:bidi="ar"/>
        </w:rPr>
        <w:t>亿</w:t>
      </w:r>
      <w:r>
        <w:rPr>
          <w:rFonts w:hint="default" w:ascii="Times New Roman" w:hAnsi="Times New Roman" w:eastAsia="宋体" w:cs="Times New Roman"/>
          <w:snapToGrid w:val="0"/>
          <w:color w:val="000000"/>
          <w:spacing w:val="-6"/>
          <w:kern w:val="0"/>
          <w:sz w:val="20"/>
          <w:szCs w:val="20"/>
          <w:lang w:val="en-US" w:eastAsia="zh-CN" w:bidi="ar"/>
        </w:rPr>
        <w:t xml:space="preserve">~70 </w:t>
      </w:r>
      <w:r>
        <w:rPr>
          <w:rFonts w:hint="eastAsia" w:ascii="宋体" w:hAnsi="宋体" w:eastAsia="宋体" w:cs="宋体"/>
          <w:snapToGrid w:val="0"/>
          <w:color w:val="000000"/>
          <w:spacing w:val="-6"/>
          <w:kern w:val="0"/>
          <w:sz w:val="20"/>
          <w:szCs w:val="20"/>
          <w:lang w:val="en-US" w:eastAsia="zh-CN" w:bidi="ar"/>
        </w:rPr>
        <w:t xml:space="preserve">亿美元之间 </w:t>
      </w:r>
    </w:p>
    <w:p w14:paraId="074BA6A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不到 </w:t>
      </w:r>
      <w:r>
        <w:rPr>
          <w:rFonts w:hint="default" w:ascii="Times New Roman" w:hAnsi="Times New Roman" w:eastAsia="宋体" w:cs="Times New Roman"/>
          <w:snapToGrid w:val="0"/>
          <w:color w:val="000000"/>
          <w:spacing w:val="-6"/>
          <w:kern w:val="0"/>
          <w:sz w:val="20"/>
          <w:szCs w:val="20"/>
          <w:lang w:val="en-US" w:eastAsia="zh-CN" w:bidi="ar"/>
        </w:rPr>
        <w:t xml:space="preserve">60 </w:t>
      </w:r>
      <w:r>
        <w:rPr>
          <w:rFonts w:hint="eastAsia" w:ascii="宋体" w:hAnsi="宋体" w:eastAsia="宋体" w:cs="宋体"/>
          <w:snapToGrid w:val="0"/>
          <w:color w:val="000000"/>
          <w:spacing w:val="-6"/>
          <w:kern w:val="0"/>
          <w:sz w:val="20"/>
          <w:szCs w:val="20"/>
          <w:lang w:val="en-US" w:eastAsia="zh-CN" w:bidi="ar"/>
        </w:rPr>
        <w:t xml:space="preserve">亿美元 </w:t>
      </w:r>
    </w:p>
    <w:p w14:paraId="76B40043">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419767C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 xml:space="preserve">128.2023 </w:t>
      </w:r>
      <w:r>
        <w:rPr>
          <w:rFonts w:hint="eastAsia" w:ascii="宋体" w:hAnsi="宋体" w:eastAsia="宋体" w:cs="宋体"/>
          <w:snapToGrid w:val="0"/>
          <w:color w:val="000000"/>
          <w:spacing w:val="-6"/>
          <w:kern w:val="0"/>
          <w:sz w:val="20"/>
          <w:szCs w:val="20"/>
          <w:lang w:val="en-US" w:eastAsia="zh-CN" w:bidi="ar"/>
        </w:rPr>
        <w:t xml:space="preserve">年三季度，人民银行清算总中心系统处理支付业务中，小额批量支付系统处理业务笔数的占比同比： </w:t>
      </w:r>
    </w:p>
    <w:p w14:paraId="6FAB9D06">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下降了不到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个百分点 </w:t>
      </w:r>
    </w:p>
    <w:p w14:paraId="7C55056B">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下降了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个百分点以上 </w:t>
      </w:r>
    </w:p>
    <w:p w14:paraId="589B218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上升了不到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个百分点 </w:t>
      </w:r>
    </w:p>
    <w:p w14:paraId="2980E17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上升了 </w:t>
      </w:r>
      <w:r>
        <w:rPr>
          <w:rFonts w:hint="default" w:ascii="Times New Roman" w:hAnsi="Times New Roman" w:eastAsia="宋体" w:cs="Times New Roman"/>
          <w:snapToGrid w:val="0"/>
          <w:color w:val="000000"/>
          <w:spacing w:val="-6"/>
          <w:kern w:val="0"/>
          <w:sz w:val="20"/>
          <w:szCs w:val="20"/>
          <w:lang w:val="en-US" w:eastAsia="zh-CN" w:bidi="ar"/>
        </w:rPr>
        <w:t xml:space="preserve">2 </w:t>
      </w:r>
      <w:r>
        <w:rPr>
          <w:rFonts w:hint="eastAsia" w:ascii="宋体" w:hAnsi="宋体" w:eastAsia="宋体" w:cs="宋体"/>
          <w:snapToGrid w:val="0"/>
          <w:color w:val="000000"/>
          <w:spacing w:val="-6"/>
          <w:kern w:val="0"/>
          <w:sz w:val="20"/>
          <w:szCs w:val="20"/>
          <w:lang w:val="en-US" w:eastAsia="zh-CN" w:bidi="ar"/>
        </w:rPr>
        <w:t xml:space="preserve">个百分点以上 </w:t>
      </w:r>
    </w:p>
    <w:p w14:paraId="3E43C71C">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D </w:t>
      </w:r>
    </w:p>
    <w:p w14:paraId="6298B4C9">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129.</w:t>
      </w:r>
      <w:r>
        <w:rPr>
          <w:rFonts w:hint="eastAsia" w:ascii="宋体" w:hAnsi="宋体" w:eastAsia="宋体" w:cs="宋体"/>
          <w:snapToGrid w:val="0"/>
          <w:color w:val="000000"/>
          <w:spacing w:val="-6"/>
          <w:kern w:val="0"/>
          <w:sz w:val="20"/>
          <w:szCs w:val="20"/>
          <w:lang w:val="en-US" w:eastAsia="zh-CN" w:bidi="ar"/>
        </w:rPr>
        <w:t xml:space="preserve">将其他支付系统中①银行行内业务系统、②银联跨行支付系统、③城银清算支付清算系统和④农信银支付清算系统，按 </w:t>
      </w: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 xml:space="preserve">年三季度平均每笔业务金额同比增速从高到低排列，以下正确的是： </w:t>
      </w:r>
    </w:p>
    <w:p w14:paraId="319154F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④①②③ </w:t>
      </w:r>
    </w:p>
    <w:p w14:paraId="46C43A18">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④③②①</w:t>
      </w:r>
    </w:p>
    <w:p w14:paraId="6248DE17">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①②③④ </w:t>
      </w:r>
    </w:p>
    <w:p w14:paraId="410632D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 xml:space="preserve">③②①④ </w:t>
      </w:r>
    </w:p>
    <w:p w14:paraId="7681FA1D">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 xml:space="preserve">B </w:t>
      </w:r>
    </w:p>
    <w:p w14:paraId="69B381A0">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130</w:t>
      </w:r>
      <w:r>
        <w:rPr>
          <w:rFonts w:hint="eastAsia" w:ascii="宋体" w:hAnsi="宋体" w:eastAsia="宋体" w:cs="宋体"/>
          <w:snapToGrid w:val="0"/>
          <w:color w:val="000000"/>
          <w:spacing w:val="-6"/>
          <w:kern w:val="0"/>
          <w:sz w:val="20"/>
          <w:szCs w:val="20"/>
          <w:lang w:val="en-US" w:eastAsia="zh-CN" w:bidi="ar"/>
        </w:rPr>
        <w:t xml:space="preserve">，关于 </w:t>
      </w:r>
      <w:r>
        <w:rPr>
          <w:rFonts w:hint="default" w:ascii="Times New Roman" w:hAnsi="Times New Roman" w:eastAsia="宋体" w:cs="Times New Roman"/>
          <w:snapToGrid w:val="0"/>
          <w:color w:val="000000"/>
          <w:spacing w:val="-6"/>
          <w:kern w:val="0"/>
          <w:sz w:val="20"/>
          <w:szCs w:val="20"/>
          <w:lang w:val="en-US" w:eastAsia="zh-CN" w:bidi="ar"/>
        </w:rPr>
        <w:t xml:space="preserve">2023 </w:t>
      </w:r>
      <w:r>
        <w:rPr>
          <w:rFonts w:hint="eastAsia" w:ascii="宋体" w:hAnsi="宋体" w:eastAsia="宋体" w:cs="宋体"/>
          <w:snapToGrid w:val="0"/>
          <w:color w:val="000000"/>
          <w:spacing w:val="-6"/>
          <w:kern w:val="0"/>
          <w:sz w:val="20"/>
          <w:szCs w:val="20"/>
          <w:lang w:val="en-US" w:eastAsia="zh-CN" w:bidi="ar"/>
        </w:rPr>
        <w:t xml:space="preserve">年三季度支付系统运行情况，不能从上述资料中推出的是： </w:t>
      </w:r>
    </w:p>
    <w:p w14:paraId="048270D4">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A.</w:t>
      </w:r>
      <w:r>
        <w:rPr>
          <w:rFonts w:hint="eastAsia" w:ascii="宋体" w:hAnsi="宋体" w:eastAsia="宋体" w:cs="宋体"/>
          <w:snapToGrid w:val="0"/>
          <w:color w:val="000000"/>
          <w:spacing w:val="-6"/>
          <w:kern w:val="0"/>
          <w:sz w:val="20"/>
          <w:szCs w:val="20"/>
          <w:lang w:val="en-US" w:eastAsia="zh-CN" w:bidi="ar"/>
        </w:rPr>
        <w:t xml:space="preserve">人民币跨境支付系统处理业务笔数同比增长了 </w:t>
      </w:r>
      <w:r>
        <w:rPr>
          <w:rFonts w:hint="default" w:ascii="Times New Roman" w:hAnsi="Times New Roman" w:eastAsia="宋体" w:cs="Times New Roman"/>
          <w:snapToGrid w:val="0"/>
          <w:color w:val="000000"/>
          <w:spacing w:val="-6"/>
          <w:kern w:val="0"/>
          <w:sz w:val="20"/>
          <w:szCs w:val="20"/>
          <w:lang w:val="en-US" w:eastAsia="zh-CN" w:bidi="ar"/>
        </w:rPr>
        <w:t xml:space="preserve">40 </w:t>
      </w:r>
      <w:r>
        <w:rPr>
          <w:rFonts w:hint="eastAsia" w:ascii="宋体" w:hAnsi="宋体" w:eastAsia="宋体" w:cs="宋体"/>
          <w:snapToGrid w:val="0"/>
          <w:color w:val="000000"/>
          <w:spacing w:val="-6"/>
          <w:kern w:val="0"/>
          <w:sz w:val="20"/>
          <w:szCs w:val="20"/>
          <w:lang w:val="en-US" w:eastAsia="zh-CN" w:bidi="ar"/>
        </w:rPr>
        <w:t xml:space="preserve">万笔以上 </w:t>
      </w:r>
    </w:p>
    <w:p w14:paraId="029CAB2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B.</w:t>
      </w:r>
      <w:r>
        <w:rPr>
          <w:rFonts w:hint="eastAsia" w:ascii="宋体" w:hAnsi="宋体" w:eastAsia="宋体" w:cs="宋体"/>
          <w:snapToGrid w:val="0"/>
          <w:color w:val="000000"/>
          <w:spacing w:val="-6"/>
          <w:kern w:val="0"/>
          <w:sz w:val="20"/>
          <w:szCs w:val="20"/>
          <w:lang w:val="en-US" w:eastAsia="zh-CN" w:bidi="ar"/>
        </w:rPr>
        <w:t xml:space="preserve">银联跨行支付系统处理业务金额同比增量高于城银清算支付清算系统处理业务金额同比增量 </w:t>
      </w:r>
    </w:p>
    <w:p w14:paraId="4BE85C5A">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C.</w:t>
      </w:r>
      <w:r>
        <w:rPr>
          <w:rFonts w:hint="eastAsia" w:ascii="宋体" w:hAnsi="宋体" w:eastAsia="宋体" w:cs="宋体"/>
          <w:snapToGrid w:val="0"/>
          <w:color w:val="000000"/>
          <w:spacing w:val="-6"/>
          <w:kern w:val="0"/>
          <w:sz w:val="20"/>
          <w:szCs w:val="20"/>
          <w:lang w:val="en-US" w:eastAsia="zh-CN" w:bidi="ar"/>
        </w:rPr>
        <w:t xml:space="preserve">网上支付跨行清算系统处理业务平均每笔金额同比增长了 </w:t>
      </w:r>
      <w:r>
        <w:rPr>
          <w:rFonts w:hint="default" w:ascii="Times New Roman" w:hAnsi="Times New Roman" w:eastAsia="宋体" w:cs="Times New Roman"/>
          <w:snapToGrid w:val="0"/>
          <w:color w:val="000000"/>
          <w:spacing w:val="-6"/>
          <w:kern w:val="0"/>
          <w:sz w:val="20"/>
          <w:szCs w:val="20"/>
          <w:lang w:val="en-US" w:eastAsia="zh-CN" w:bidi="ar"/>
        </w:rPr>
        <w:t>5%</w:t>
      </w:r>
      <w:r>
        <w:rPr>
          <w:rFonts w:hint="eastAsia" w:ascii="宋体" w:hAnsi="宋体" w:eastAsia="宋体" w:cs="宋体"/>
          <w:snapToGrid w:val="0"/>
          <w:color w:val="000000"/>
          <w:spacing w:val="-6"/>
          <w:kern w:val="0"/>
          <w:sz w:val="20"/>
          <w:szCs w:val="20"/>
          <w:lang w:val="en-US" w:eastAsia="zh-CN" w:bidi="ar"/>
        </w:rPr>
        <w:t xml:space="preserve">以上 </w:t>
      </w:r>
    </w:p>
    <w:p w14:paraId="6019B72D">
      <w:pPr>
        <w:keepNext w:val="0"/>
        <w:keepLines w:val="0"/>
        <w:widowControl/>
        <w:suppressLineNumbers w:val="0"/>
        <w:jc w:val="left"/>
      </w:pPr>
      <w:r>
        <w:rPr>
          <w:rFonts w:hint="default" w:ascii="Times New Roman" w:hAnsi="Times New Roman" w:eastAsia="宋体" w:cs="Times New Roman"/>
          <w:snapToGrid w:val="0"/>
          <w:color w:val="000000"/>
          <w:spacing w:val="-6"/>
          <w:kern w:val="0"/>
          <w:sz w:val="20"/>
          <w:szCs w:val="20"/>
          <w:lang w:val="en-US" w:eastAsia="zh-CN" w:bidi="ar"/>
        </w:rPr>
        <w:t>D.</w:t>
      </w:r>
      <w:r>
        <w:rPr>
          <w:rFonts w:hint="eastAsia" w:ascii="宋体" w:hAnsi="宋体" w:eastAsia="宋体" w:cs="宋体"/>
          <w:snapToGrid w:val="0"/>
          <w:color w:val="000000"/>
          <w:spacing w:val="-6"/>
          <w:kern w:val="0"/>
          <w:sz w:val="20"/>
          <w:szCs w:val="20"/>
          <w:lang w:val="en-US" w:eastAsia="zh-CN" w:bidi="ar"/>
        </w:rPr>
        <w:t>大额实时支付系统处理业务金额占人民银行清算总中心系统处理支付业务总金额的</w:t>
      </w:r>
      <w:r>
        <w:rPr>
          <w:rFonts w:hint="default" w:ascii="Times New Roman" w:hAnsi="Times New Roman" w:eastAsia="宋体" w:cs="Times New Roman"/>
          <w:snapToGrid w:val="0"/>
          <w:color w:val="000000"/>
          <w:spacing w:val="-6"/>
          <w:kern w:val="0"/>
          <w:sz w:val="20"/>
          <w:szCs w:val="20"/>
          <w:lang w:val="en-US" w:eastAsia="zh-CN" w:bidi="ar"/>
        </w:rPr>
        <w:t>95%</w:t>
      </w:r>
      <w:r>
        <w:rPr>
          <w:rFonts w:hint="eastAsia" w:ascii="宋体" w:hAnsi="宋体" w:eastAsia="宋体" w:cs="宋体"/>
          <w:snapToGrid w:val="0"/>
          <w:color w:val="000000"/>
          <w:spacing w:val="-6"/>
          <w:kern w:val="0"/>
          <w:sz w:val="20"/>
          <w:szCs w:val="20"/>
          <w:lang w:val="en-US" w:eastAsia="zh-CN" w:bidi="ar"/>
        </w:rPr>
        <w:t xml:space="preserve">以上 </w:t>
      </w:r>
    </w:p>
    <w:p w14:paraId="315028A8">
      <w:pPr>
        <w:keepNext w:val="0"/>
        <w:keepLines w:val="0"/>
        <w:widowControl/>
        <w:suppressLineNumbers w:val="0"/>
        <w:jc w:val="left"/>
      </w:pPr>
      <w:r>
        <w:rPr>
          <w:rFonts w:hint="eastAsia" w:ascii="宋体" w:hAnsi="宋体" w:eastAsia="宋体" w:cs="宋体"/>
          <w:snapToGrid w:val="0"/>
          <w:color w:val="000000"/>
          <w:spacing w:val="-6"/>
          <w:kern w:val="0"/>
          <w:sz w:val="20"/>
          <w:szCs w:val="20"/>
          <w:lang w:val="en-US" w:eastAsia="zh-CN" w:bidi="ar"/>
        </w:rPr>
        <w:t>答案：</w:t>
      </w:r>
      <w:r>
        <w:rPr>
          <w:rFonts w:hint="default" w:ascii="Times New Roman" w:hAnsi="Times New Roman" w:eastAsia="宋体" w:cs="Times New Roman"/>
          <w:snapToGrid w:val="0"/>
          <w:color w:val="000000"/>
          <w:spacing w:val="-6"/>
          <w:kern w:val="0"/>
          <w:sz w:val="20"/>
          <w:szCs w:val="20"/>
          <w:lang w:val="en-US" w:eastAsia="zh-CN" w:bidi="ar"/>
        </w:rPr>
        <w:t>D</w:t>
      </w:r>
    </w:p>
    <w:p w14:paraId="7B094EBD">
      <w:pPr>
        <w:keepNext w:val="0"/>
        <w:keepLines w:val="0"/>
        <w:widowControl/>
        <w:suppressLineNumbers w:val="0"/>
        <w:jc w:val="left"/>
      </w:pPr>
    </w:p>
    <w:p w14:paraId="4CA27472">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rPr>
      </w:pPr>
    </w:p>
    <w:sectPr>
      <w:headerReference r:id="rId5" w:type="default"/>
      <w:footerReference r:id="rId6" w:type="default"/>
      <w:pgSz w:w="8390" w:h="11905"/>
      <w:pgMar w:top="476" w:right="839" w:bottom="476" w:left="839" w:header="851" w:footer="992" w:gutter="0"/>
      <w:cols w:space="0" w:num="1"/>
      <w:rtlGutter w:val="0"/>
      <w:docGrid w:type="lines" w:linePitch="32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8F2D9">
    <w:pPr>
      <w:pStyle w:val="5"/>
      <w:ind w:right="180"/>
      <w:rPr>
        <w:rFonts w:hint="default" w:eastAsia="宋体"/>
        <w:lang w:val="en-US" w:eastAsia="zh-CN"/>
      </w:rPr>
    </w:pPr>
    <w:r>
      <mc:AlternateContent>
        <mc:Choice Requires="wps">
          <w:drawing>
            <wp:anchor distT="0" distB="0" distL="114300" distR="114300" simplePos="0" relativeHeight="251661312" behindDoc="0" locked="0" layoutInCell="1" allowOverlap="1">
              <wp:simplePos x="0" y="0"/>
              <wp:positionH relativeFrom="margin">
                <wp:posOffset>2607310</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24CD6B">
                          <w:pPr>
                            <w:pStyle w:val="5"/>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5.3pt;margin-top:0pt;height:144pt;width:144pt;mso-position-horizontal-relative:margin;mso-wrap-style:none;z-index:251661312;mso-width-relative:page;mso-height-relative:page;" filled="f" stroked="f" coordsize="21600,21600" o:gfxdata="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XzTSzVAAAACAEAAA8AAAAAAAAAAQAgAAAAIgAAAGRycy9kb3ducmV2&#10;LnhtbFBLAQIUABQAAAAIAIdO4kD/PwNHOAIAAG8EAAAOAAAAAAAAAAEAIAAAACQBAABkcnMvZTJv&#10;RG9jLnhtbFBLBQYAAAAABgAGAFkBAADOBQAAAAA=&#10;">
              <v:fill on="f" focussize="0,0"/>
              <v:stroke on="f" weight="0.5pt"/>
              <v:imagedata o:title=""/>
              <o:lock v:ext="edit" aspectratio="f"/>
              <v:textbox inset="0mm,0mm,0mm,0mm" style="mso-fit-shape-to-text:t;">
                <w:txbxContent>
                  <w:p w14:paraId="0724CD6B">
                    <w:pPr>
                      <w:pStyle w:val="5"/>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r>
      <w:rPr>
        <w:rFonts w:hint="eastAsia"/>
      </w:rPr>
      <w:t>联系电话：023-</w:t>
    </w:r>
    <w:r>
      <w:rPr>
        <w:rFonts w:hint="eastAsia"/>
        <w:lang w:val="en-US" w:eastAsia="zh-CN"/>
      </w:rPr>
      <w:t>65021386</w:t>
    </w:r>
  </w:p>
  <w:p w14:paraId="10D74647">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2B0F3">
    <w:pPr>
      <w:pStyle w:val="6"/>
      <w:jc w:val="right"/>
      <w:rPr>
        <w:rFonts w:hint="eastAsia" w:ascii="微软雅黑" w:hAnsi="微软雅黑" w:eastAsia="微软雅黑" w:cs="微软雅黑"/>
      </w:rPr>
    </w:pPr>
    <w:r>
      <w:rPr>
        <w:rFonts w:ascii="微软雅黑" w:hAnsi="微软雅黑" w:eastAsia="微软雅黑" w:cs="微软雅黑"/>
      </w:rPr>
      <mc:AlternateContent>
        <mc:Choice Requires="wps">
          <w:drawing>
            <wp:anchor distT="0" distB="0" distL="114300" distR="114300" simplePos="0" relativeHeight="251659264" behindDoc="0" locked="0" layoutInCell="1" allowOverlap="1">
              <wp:simplePos x="0" y="0"/>
              <wp:positionH relativeFrom="column">
                <wp:posOffset>1230630</wp:posOffset>
              </wp:positionH>
              <wp:positionV relativeFrom="paragraph">
                <wp:posOffset>187960</wp:posOffset>
              </wp:positionV>
              <wp:extent cx="2926715" cy="6350"/>
              <wp:effectExtent l="0" t="4445" r="6985" b="8255"/>
              <wp:wrapNone/>
              <wp:docPr id="2" name="直接连接符 2"/>
              <wp:cNvGraphicFramePr/>
              <a:graphic xmlns:a="http://schemas.openxmlformats.org/drawingml/2006/main">
                <a:graphicData uri="http://schemas.microsoft.com/office/word/2010/wordprocessingShape">
                  <wps:wsp>
                    <wps:cNvCnPr/>
                    <wps:spPr>
                      <a:xfrm flipV="1">
                        <a:off x="0" y="0"/>
                        <a:ext cx="2926715" cy="635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96.9pt;margin-top:14.8pt;height:0.5pt;width:230.45pt;z-index:251659264;mso-width-relative:page;mso-height-relative:page;" filled="f" stroked="t" coordsize="21600,21600" o:gfxdata="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oxGn1wAAAAkBAAAPAAAAAAAAAAEAIAAAACIAAABkcnMv&#10;ZG93bnJldi54bWxQSwECFAAUAAAACACHTuJAEAv7LwQCAAD/AwAADgAAAAAAAAABACAAAAAmAQAA&#10;ZHJzL2Uyb0RvYy54bWxQSwUGAAAAAAYABgBZAQAAnAUAAAAA&#10;">
              <v:fill on="f" focussize="0,0"/>
              <v:stroke color="#000000" joinstyle="round"/>
              <v:imagedata o:title=""/>
              <o:lock v:ext="edit" aspectratio="f"/>
            </v:line>
          </w:pict>
        </mc:Fallback>
      </mc:AlternateContent>
    </w:r>
    <w:r>
      <w:rPr>
        <w:rFonts w:hint="eastAsia" w:ascii="Calibri"/>
        <w:sz w:val="21"/>
        <w:szCs w:val="21"/>
      </w:rPr>
      <w:drawing>
        <wp:anchor distT="0" distB="0" distL="114300" distR="114300" simplePos="0" relativeHeight="251660288" behindDoc="0" locked="0" layoutInCell="1" allowOverlap="1">
          <wp:simplePos x="0" y="0"/>
          <wp:positionH relativeFrom="column">
            <wp:posOffset>-62230</wp:posOffset>
          </wp:positionH>
          <wp:positionV relativeFrom="paragraph">
            <wp:posOffset>-144780</wp:posOffset>
          </wp:positionV>
          <wp:extent cx="1414780" cy="526415"/>
          <wp:effectExtent l="0" t="0" r="0" b="0"/>
          <wp:wrapNone/>
          <wp:docPr id="4" name="图片 1" descr="D:\桌面\685d970c90818c74765a953ed7d146d.png685d970c90818c74765a953ed7d14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D:\桌面\685d970c90818c74765a953ed7d146d.png685d970c90818c74765a953ed7d146d"/>
                  <pic:cNvPicPr>
                    <a:picLocks noChangeAspect="1"/>
                  </pic:cNvPicPr>
                </pic:nvPicPr>
                <pic:blipFill>
                  <a:blip r:embed="rId1"/>
                  <a:srcRect t="22" b="22"/>
                  <a:stretch>
                    <a:fillRect/>
                  </a:stretch>
                </pic:blipFill>
                <pic:spPr>
                  <a:xfrm>
                    <a:off x="0" y="0"/>
                    <a:ext cx="1414780" cy="526415"/>
                  </a:xfrm>
                  <a:prstGeom prst="rect">
                    <a:avLst/>
                  </a:prstGeom>
                  <a:noFill/>
                  <a:ln w="9525">
                    <a:noFill/>
                  </a:ln>
                </pic:spPr>
              </pic:pic>
            </a:graphicData>
          </a:graphic>
        </wp:anchor>
      </w:drawing>
    </w:r>
    <w:r>
      <w:rPr>
        <w:rFonts w:hint="eastAsia"/>
        <w:lang w:val="en-US" w:eastAsia="zh-CN"/>
      </w:rPr>
      <w:t xml:space="preserve">       </w:t>
    </w:r>
    <w:r>
      <w:fldChar w:fldCharType="begin"/>
    </w:r>
    <w:r>
      <w:instrText xml:space="preserve"> HYPERLINK "http://www.leenjy.com" </w:instrText>
    </w:r>
    <w:r>
      <w:fldChar w:fldCharType="separate"/>
    </w:r>
    <w:r>
      <w:rPr>
        <w:rFonts w:hint="eastAsia" w:ascii="微软雅黑" w:hAnsi="微软雅黑" w:eastAsia="微软雅黑" w:cs="微软雅黑"/>
      </w:rPr>
      <w:t>www.leenj</w:t>
    </w:r>
    <w:r>
      <w:rPr>
        <w:rFonts w:hint="eastAsia" w:ascii="微软雅黑" w:hAnsi="微软雅黑" w:eastAsia="微软雅黑" w:cs="微软雅黑"/>
        <w:lang w:val="en-US" w:eastAsia="zh-CN"/>
      </w:rPr>
      <w:t>y</w:t>
    </w:r>
    <w:r>
      <w:rPr>
        <w:rFonts w:hint="eastAsia" w:ascii="微软雅黑" w:hAnsi="微软雅黑" w:eastAsia="微软雅黑" w:cs="微软雅黑"/>
      </w:rPr>
      <w:t>.com</w:t>
    </w:r>
    <w:r>
      <w:rPr>
        <w:rFonts w:hint="eastAsia" w:ascii="微软雅黑" w:hAnsi="微软雅黑" w:eastAsia="微软雅黑" w:cs="微软雅黑"/>
      </w:rPr>
      <w:fldChar w:fldCharType="end"/>
    </w:r>
  </w:p>
  <w:p w14:paraId="4F8BAAE8">
    <w:pPr>
      <w:pStyle w:val="6"/>
      <w:jc w:val="right"/>
      <w:rPr>
        <w:rFonts w:hint="eastAsia" w:eastAsia="微软雅黑"/>
        <w:lang w:eastAsia="zh-CN"/>
      </w:rPr>
    </w:pPr>
    <w:r>
      <w:rPr>
        <w:rFonts w:hint="eastAsia" w:ascii="微软雅黑" w:hAnsi="微软雅黑" w:eastAsia="微软雅黑" w:cs="微软雅黑"/>
      </w:rPr>
      <w:t>专注于公职考试培训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DE0F6"/>
    <w:multiLevelType w:val="singleLevel"/>
    <w:tmpl w:val="888DE0F6"/>
    <w:lvl w:ilvl="0" w:tentative="0">
      <w:start w:val="2"/>
      <w:numFmt w:val="chineseCounting"/>
      <w:suff w:val="space"/>
      <w:lvlText w:val="第%1部分"/>
      <w:lvlJc w:val="left"/>
      <w:rPr>
        <w:rFonts w:hint="eastAsia"/>
      </w:rPr>
    </w:lvl>
  </w:abstractNum>
  <w:abstractNum w:abstractNumId="1">
    <w:nsid w:val="99FC5F59"/>
    <w:multiLevelType w:val="singleLevel"/>
    <w:tmpl w:val="99FC5F59"/>
    <w:lvl w:ilvl="0" w:tentative="0">
      <w:start w:val="14"/>
      <w:numFmt w:val="decimal"/>
      <w:lvlText w:val="%1."/>
      <w:lvlJc w:val="left"/>
      <w:pPr>
        <w:tabs>
          <w:tab w:val="left" w:pos="312"/>
        </w:tabs>
      </w:pPr>
    </w:lvl>
  </w:abstractNum>
  <w:abstractNum w:abstractNumId="2">
    <w:nsid w:val="BAC5563C"/>
    <w:multiLevelType w:val="singleLevel"/>
    <w:tmpl w:val="BAC5563C"/>
    <w:lvl w:ilvl="0" w:tentative="0">
      <w:start w:val="103"/>
      <w:numFmt w:val="decimal"/>
      <w:lvlText w:val="%1."/>
      <w:lvlJc w:val="left"/>
      <w:pPr>
        <w:tabs>
          <w:tab w:val="left" w:pos="312"/>
        </w:tabs>
      </w:pPr>
    </w:lvl>
  </w:abstractNum>
  <w:abstractNum w:abstractNumId="3">
    <w:nsid w:val="1D09EA5F"/>
    <w:multiLevelType w:val="singleLevel"/>
    <w:tmpl w:val="1D09EA5F"/>
    <w:lvl w:ilvl="0" w:tentative="0">
      <w:start w:val="63"/>
      <w:numFmt w:val="decimal"/>
      <w:lvlText w:val="%1."/>
      <w:lvlJc w:val="left"/>
      <w:pPr>
        <w:tabs>
          <w:tab w:val="left" w:pos="312"/>
        </w:tabs>
      </w:pPr>
    </w:lvl>
  </w:abstractNum>
  <w:abstractNum w:abstractNumId="4">
    <w:nsid w:val="1D2D6873"/>
    <w:multiLevelType w:val="singleLevel"/>
    <w:tmpl w:val="1D2D6873"/>
    <w:lvl w:ilvl="0" w:tentative="0">
      <w:start w:val="102"/>
      <w:numFmt w:val="decimal"/>
      <w:lvlText w:val="%1."/>
      <w:lvlJc w:val="left"/>
      <w:pPr>
        <w:tabs>
          <w:tab w:val="left" w:pos="312"/>
        </w:tabs>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0"/>
  <w:bordersDoNotSurroundFooter w:val="0"/>
  <w:documentProtection w:enforcement="0"/>
  <w:defaultTabStop w:val="420"/>
  <w:drawingGridVerticalSpacing w:val="161"/>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2Y2I4ZTQ1YjAxMzBjM2UzZDZjMGJkY2U3OTQ2NjAifQ=="/>
  </w:docVars>
  <w:rsids>
    <w:rsidRoot w:val="5F8C3E4A"/>
    <w:rsid w:val="027321E1"/>
    <w:rsid w:val="06E96529"/>
    <w:rsid w:val="0DE902F4"/>
    <w:rsid w:val="12AC38F3"/>
    <w:rsid w:val="13A655CF"/>
    <w:rsid w:val="218B501C"/>
    <w:rsid w:val="2A7C7BF7"/>
    <w:rsid w:val="2CD626AB"/>
    <w:rsid w:val="2F307202"/>
    <w:rsid w:val="31FB2097"/>
    <w:rsid w:val="339935C8"/>
    <w:rsid w:val="348E4FC8"/>
    <w:rsid w:val="3B3436D3"/>
    <w:rsid w:val="43CE2791"/>
    <w:rsid w:val="48C0558E"/>
    <w:rsid w:val="4E465730"/>
    <w:rsid w:val="4F6C798B"/>
    <w:rsid w:val="52F42171"/>
    <w:rsid w:val="534634A8"/>
    <w:rsid w:val="58A36223"/>
    <w:rsid w:val="5F8C3E4A"/>
    <w:rsid w:val="64F02245"/>
    <w:rsid w:val="67731FBD"/>
    <w:rsid w:val="6CDA788A"/>
    <w:rsid w:val="6F573414"/>
    <w:rsid w:val="753879E4"/>
    <w:rsid w:val="760D6F22"/>
    <w:rsid w:val="79C96E31"/>
    <w:rsid w:val="7F001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宋体" w:hAnsi="宋体" w:eastAsia="宋体" w:cs="宋体"/>
      <w:snapToGrid w:val="0"/>
      <w:color w:val="auto"/>
      <w:spacing w:val="-6"/>
      <w:kern w:val="0"/>
      <w:sz w:val="21"/>
      <w:szCs w:val="21"/>
    </w:rPr>
  </w:style>
  <w:style w:type="paragraph" w:styleId="2">
    <w:name w:val="heading 1"/>
    <w:basedOn w:val="1"/>
    <w:qFormat/>
    <w:uiPriority w:val="9"/>
    <w:pPr>
      <w:keepNext/>
      <w:keepLines/>
      <w:spacing w:before="340" w:after="330" w:line="578" w:lineRule="auto"/>
      <w:jc w:val="center"/>
      <w:outlineLvl w:val="0"/>
    </w:pPr>
    <w:rPr>
      <w:rFonts w:eastAsia="黑体"/>
      <w:b/>
      <w:bCs/>
      <w:kern w:val="44"/>
      <w:sz w:val="32"/>
      <w:szCs w:val="44"/>
    </w:rPr>
  </w:style>
  <w:style w:type="paragraph" w:styleId="3">
    <w:name w:val="heading 2"/>
    <w:basedOn w:val="1"/>
    <w:next w:val="1"/>
    <w:unhideWhenUsed/>
    <w:qFormat/>
    <w:uiPriority w:val="9"/>
    <w:pPr>
      <w:keepNext/>
      <w:keepLines/>
      <w:spacing w:before="260" w:after="260" w:line="416" w:lineRule="auto"/>
      <w:jc w:val="left"/>
      <w:outlineLvl w:val="1"/>
    </w:pPr>
    <w:rPr>
      <w:rFonts w:eastAsia="黑体" w:asciiTheme="majorHAnsi" w:hAnsiTheme="majorHAnsi" w:cstheme="majorBidi"/>
      <w:b/>
      <w:bCs/>
      <w:sz w:val="24"/>
      <w:szCs w:val="32"/>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semiHidden/>
    <w:qFormat/>
    <w:uiPriority w:val="0"/>
    <w:rPr>
      <w:rFonts w:ascii="宋体" w:hAnsi="宋体" w:eastAsia="宋体" w:cs="宋体"/>
      <w:sz w:val="26"/>
      <w:szCs w:val="26"/>
      <w:lang w:val="en-US" w:eastAsia="en-US" w:bidi="ar-SA"/>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autoRedefine/>
    <w:qFormat/>
    <w:uiPriority w:val="0"/>
  </w:style>
  <w:style w:type="paragraph" w:styleId="8">
    <w:name w:val="toc 2"/>
    <w:basedOn w:val="1"/>
    <w:next w:val="1"/>
    <w:autoRedefine/>
    <w:qFormat/>
    <w:uiPriority w:val="0"/>
    <w:pPr>
      <w:ind w:left="420" w:leftChars="200"/>
    </w:pPr>
  </w:style>
  <w:style w:type="paragraph" w:styleId="9">
    <w:name w:val="Normal (Web)"/>
    <w:basedOn w:val="1"/>
    <w:qFormat/>
    <w:uiPriority w:val="99"/>
    <w:pPr>
      <w:spacing w:before="100" w:beforeAutospacing="1" w:after="100" w:afterAutospacing="1"/>
      <w:ind w:left="0" w:right="0"/>
      <w:jc w:val="left"/>
    </w:pPr>
    <w:rPr>
      <w:kern w:val="0"/>
      <w:sz w:val="24"/>
      <w:lang w:val="en-US" w:eastAsia="zh-CN" w:bidi="ar"/>
    </w:rPr>
  </w:style>
  <w:style w:type="character" w:styleId="12">
    <w:name w:val="Strong"/>
    <w:qFormat/>
    <w:uiPriority w:val="0"/>
    <w:rPr>
      <w:b/>
    </w:rPr>
  </w:style>
  <w:style w:type="character" w:styleId="13">
    <w:name w:val="Hyperlink"/>
    <w:basedOn w:val="11"/>
    <w:autoRedefine/>
    <w:unhideWhenUsed/>
    <w:qFormat/>
    <w:uiPriority w:val="99"/>
    <w:rPr>
      <w:color w:val="0000FF"/>
      <w:u w:val="single"/>
    </w:rPr>
  </w:style>
  <w:style w:type="paragraph" w:styleId="14">
    <w:name w:val="List Paragraph"/>
    <w:basedOn w:val="1"/>
    <w:autoRedefine/>
    <w:qFormat/>
    <w:uiPriority w:val="34"/>
    <w:pPr>
      <w:widowControl w:val="0"/>
      <w:ind w:firstLine="420" w:firstLineChars="200"/>
      <w:jc w:val="both"/>
    </w:pPr>
    <w:rPr>
      <w:rFonts w:ascii="Calibri" w:hAnsi="Calibri" w:eastAsia="宋体" w:cs="Times New Roman"/>
      <w:kern w:val="2"/>
      <w:sz w:val="21"/>
      <w:szCs w:val="22"/>
    </w:rPr>
  </w:style>
  <w:style w:type="paragraph" w:customStyle="1" w:styleId="15">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16">
    <w:name w:val="WPSOffice手动目录 2"/>
    <w:autoRedefine/>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21801</Words>
  <Characters>23554</Characters>
  <Lines>0</Lines>
  <Paragraphs>0</Paragraphs>
  <TotalTime>37</TotalTime>
  <ScaleCrop>false</ScaleCrop>
  <LinksUpToDate>false</LinksUpToDate>
  <CharactersWithSpaces>24840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2023-03-18T07:03:00Z</dcterms:created>
  <dc:creator>乐恩教育张老师</dc:creator>
  <cp:lastModifiedBy>''Lazy</cp:lastModifiedBy>
  <dcterms:modified xsi:type="dcterms:W3CDTF">2024-12-02T02:00:12Z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A7E480240B3F4FBBB6D06CE113B6B2FA_13</vt:lpwstr>
  </property>
</Properties>
</file>